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783C" w:rsidRDefault="006F783C" w:rsidP="00826A4E">
      <w:pPr>
        <w:rPr>
          <w:i/>
          <w:iCs/>
        </w:rPr>
      </w:pPr>
      <w:r>
        <w:rPr>
          <w:noProof/>
          <w:lang w:val="en-US" w:eastAsia="en-US" w:bidi="ar-SA"/>
        </w:rPr>
        <mc:AlternateContent>
          <mc:Choice Requires="wps">
            <w:drawing>
              <wp:anchor distT="0" distB="0" distL="114935" distR="114935" simplePos="0" relativeHeight="251659264" behindDoc="0" locked="0" layoutInCell="1" allowOverlap="1" wp14:anchorId="3F721786" wp14:editId="16FD52BD">
                <wp:simplePos x="0" y="0"/>
                <wp:positionH relativeFrom="column">
                  <wp:posOffset>1417320</wp:posOffset>
                </wp:positionH>
                <wp:positionV relativeFrom="paragraph">
                  <wp:posOffset>-105410</wp:posOffset>
                </wp:positionV>
                <wp:extent cx="4288790" cy="1058545"/>
                <wp:effectExtent l="7620" t="5080" r="8890" b="31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058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83C" w:rsidRDefault="006F783C" w:rsidP="006F783C">
                            <w:pPr>
                              <w:spacing w:line="300" w:lineRule="auto"/>
                              <w:jc w:val="center"/>
                            </w:pPr>
                            <w:r>
                              <w:t>LATVIJAS</w:t>
                            </w:r>
                            <w:r>
                              <w:rPr>
                                <w:rFonts w:eastAsia="Times New Roman" w:cs="Times New Roman"/>
                              </w:rPr>
                              <w:t xml:space="preserve"> </w:t>
                            </w:r>
                            <w:r>
                              <w:t>REPUBLIKAS</w:t>
                            </w:r>
                            <w:r>
                              <w:rPr>
                                <w:rFonts w:eastAsia="Times New Roman" w:cs="Times New Roman"/>
                              </w:rPr>
                              <w:t xml:space="preserve"> </w:t>
                            </w:r>
                            <w:r>
                              <w:t>PROKURATŪRA</w:t>
                            </w:r>
                          </w:p>
                          <w:p w:rsidR="006F783C" w:rsidRDefault="006F783C" w:rsidP="006F783C">
                            <w:pPr>
                              <w:spacing w:line="288" w:lineRule="auto"/>
                              <w:jc w:val="center"/>
                            </w:pPr>
                            <w:r>
                              <w:t>ĢENERĀLPROKURATŪRAS</w:t>
                            </w:r>
                          </w:p>
                          <w:p w:rsidR="006F783C" w:rsidRPr="000E0857" w:rsidRDefault="006F783C" w:rsidP="006F783C">
                            <w:pPr>
                              <w:spacing w:line="216" w:lineRule="auto"/>
                              <w:jc w:val="center"/>
                              <w:rPr>
                                <w:b/>
                                <w:lang w:val="de-DE"/>
                              </w:rPr>
                            </w:pPr>
                            <w:r w:rsidRPr="000E0857">
                              <w:rPr>
                                <w:b/>
                                <w:lang w:val="de-DE"/>
                              </w:rPr>
                              <w:t>KRIMINĀLTIESISKAIS</w:t>
                            </w:r>
                            <w:r w:rsidRPr="000E0857">
                              <w:rPr>
                                <w:rFonts w:eastAsia="Times New Roman" w:cs="Times New Roman"/>
                                <w:b/>
                                <w:lang w:val="de-DE"/>
                              </w:rPr>
                              <w:t xml:space="preserve"> </w:t>
                            </w:r>
                            <w:r w:rsidRPr="000E0857">
                              <w:rPr>
                                <w:b/>
                                <w:lang w:val="de-DE"/>
                              </w:rPr>
                              <w:t>DEPARTAMENTS</w:t>
                            </w:r>
                          </w:p>
                          <w:p w:rsidR="006F783C" w:rsidRDefault="006F783C" w:rsidP="006F783C">
                            <w:pPr>
                              <w:spacing w:line="216" w:lineRule="auto"/>
                              <w:jc w:val="center"/>
                              <w:rPr>
                                <w:b/>
                                <w:sz w:val="8"/>
                              </w:rPr>
                            </w:pPr>
                          </w:p>
                          <w:p w:rsidR="006F783C" w:rsidRDefault="006F783C" w:rsidP="006F783C">
                            <w:pPr>
                              <w:jc w:val="center"/>
                              <w:rPr>
                                <w:sz w:val="22"/>
                              </w:rPr>
                            </w:pPr>
                            <w:r>
                              <w:rPr>
                                <w:sz w:val="22"/>
                              </w:rPr>
                              <w:t>Reģ.Nr.</w:t>
                            </w:r>
                            <w:r>
                              <w:rPr>
                                <w:rFonts w:eastAsia="Times New Roman" w:cs="Times New Roman"/>
                                <w:sz w:val="22"/>
                              </w:rPr>
                              <w:t xml:space="preserve"> </w:t>
                            </w:r>
                            <w:r>
                              <w:rPr>
                                <w:sz w:val="22"/>
                              </w:rPr>
                              <w:t>90000022859,</w:t>
                            </w:r>
                            <w:r>
                              <w:rPr>
                                <w:rFonts w:eastAsia="Times New Roman" w:cs="Times New Roman"/>
                                <w:sz w:val="22"/>
                              </w:rPr>
                              <w:t xml:space="preserve"> </w:t>
                            </w:r>
                            <w:r>
                              <w:rPr>
                                <w:sz w:val="22"/>
                              </w:rPr>
                              <w:t>Kalpaka</w:t>
                            </w:r>
                            <w:r>
                              <w:rPr>
                                <w:rFonts w:eastAsia="Times New Roman" w:cs="Times New Roman"/>
                                <w:sz w:val="22"/>
                              </w:rPr>
                              <w:t xml:space="preserve"> </w:t>
                            </w:r>
                            <w:r>
                              <w:rPr>
                                <w:sz w:val="22"/>
                              </w:rPr>
                              <w:t>bulvārī</w:t>
                            </w:r>
                            <w:r>
                              <w:rPr>
                                <w:rFonts w:eastAsia="Times New Roman" w:cs="Times New Roman"/>
                                <w:sz w:val="22"/>
                              </w:rPr>
                              <w:t xml:space="preserve"> </w:t>
                            </w:r>
                            <w:r>
                              <w:rPr>
                                <w:sz w:val="22"/>
                              </w:rPr>
                              <w:t>6,</w:t>
                            </w:r>
                            <w:r>
                              <w:rPr>
                                <w:rFonts w:eastAsia="Times New Roman" w:cs="Times New Roman"/>
                                <w:sz w:val="22"/>
                              </w:rPr>
                              <w:t xml:space="preserve"> </w:t>
                            </w:r>
                            <w:r>
                              <w:rPr>
                                <w:sz w:val="22"/>
                              </w:rPr>
                              <w:t>Rīgā,</w:t>
                            </w:r>
                            <w:r>
                              <w:rPr>
                                <w:rFonts w:eastAsia="Times New Roman" w:cs="Times New Roman"/>
                                <w:sz w:val="22"/>
                              </w:rPr>
                              <w:t xml:space="preserve"> </w:t>
                            </w:r>
                            <w:r>
                              <w:rPr>
                                <w:sz w:val="22"/>
                              </w:rPr>
                              <w:t>LV-1801</w:t>
                            </w:r>
                          </w:p>
                          <w:p w:rsidR="006F783C" w:rsidRDefault="006F783C" w:rsidP="006F783C">
                            <w:pPr>
                              <w:jc w:val="center"/>
                              <w:rPr>
                                <w:sz w:val="22"/>
                              </w:rPr>
                            </w:pPr>
                            <w:r>
                              <w:rPr>
                                <w:sz w:val="22"/>
                              </w:rPr>
                              <w:t>tālr.</w:t>
                            </w:r>
                            <w:r>
                              <w:rPr>
                                <w:rFonts w:eastAsia="Times New Roman" w:cs="Times New Roman"/>
                                <w:sz w:val="22"/>
                              </w:rPr>
                              <w:t xml:space="preserve"> </w:t>
                            </w:r>
                            <w:r>
                              <w:rPr>
                                <w:sz w:val="22"/>
                              </w:rPr>
                              <w:t>67044443,</w:t>
                            </w:r>
                            <w:r>
                              <w:rPr>
                                <w:rFonts w:eastAsia="Times New Roman" w:cs="Times New Roman"/>
                                <w:sz w:val="22"/>
                              </w:rPr>
                              <w:t xml:space="preserve"> </w:t>
                            </w:r>
                            <w:r>
                              <w:rPr>
                                <w:sz w:val="22"/>
                              </w:rPr>
                              <w:t>fakss</w:t>
                            </w:r>
                            <w:r>
                              <w:rPr>
                                <w:rFonts w:eastAsia="Times New Roman" w:cs="Times New Roman"/>
                                <w:sz w:val="22"/>
                              </w:rPr>
                              <w:t xml:space="preserve"> </w:t>
                            </w:r>
                            <w:r>
                              <w:rPr>
                                <w:sz w:val="22"/>
                              </w:rPr>
                              <w:t>67044449,</w:t>
                            </w:r>
                            <w:r>
                              <w:rPr>
                                <w:rFonts w:eastAsia="Times New Roman" w:cs="Times New Roman"/>
                                <w:sz w:val="22"/>
                              </w:rPr>
                              <w:t xml:space="preserve"> </w:t>
                            </w:r>
                            <w:r>
                              <w:rPr>
                                <w:sz w:val="22"/>
                              </w:rPr>
                              <w:t>e-pasts:</w:t>
                            </w:r>
                            <w:r>
                              <w:rPr>
                                <w:rFonts w:eastAsia="Times New Roman" w:cs="Times New Roman"/>
                                <w:sz w:val="22"/>
                              </w:rPr>
                              <w:t xml:space="preserve"> krimdep</w:t>
                            </w:r>
                            <w:r>
                              <w:rPr>
                                <w:sz w:val="22"/>
                              </w:rPr>
                              <w:t>@lrp.gov.lv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21786" id="_x0000_t202" coordsize="21600,21600" o:spt="202" path="m,l,21600r21600,l21600,xe">
                <v:stroke joinstyle="miter"/>
                <v:path gradientshapeok="t" o:connecttype="rect"/>
              </v:shapetype>
              <v:shape id="Text Box 4" o:spid="_x0000_s1026" type="#_x0000_t202" style="position:absolute;margin-left:111.6pt;margin-top:-8.3pt;width:337.7pt;height:83.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" stroked="f">
                <v:fill opacity="0"/>
                <v:textbox inset="0,0,0,0">
                  <w:txbxContent>
                    <w:p w:rsidR="006F783C" w:rsidRDefault="006F783C" w:rsidP="006F783C">
                      <w:pPr>
                        <w:spacing w:line="300" w:lineRule="auto"/>
                        <w:jc w:val="center"/>
                      </w:pPr>
                      <w:r>
                        <w:t>LATVIJAS</w:t>
                      </w:r>
                      <w:r>
                        <w:rPr>
                          <w:rFonts w:eastAsia="Times New Roman" w:cs="Times New Roman"/>
                        </w:rPr>
                        <w:t xml:space="preserve"> </w:t>
                      </w:r>
                      <w:r>
                        <w:t>REPUBLIKAS</w:t>
                      </w:r>
                      <w:r>
                        <w:rPr>
                          <w:rFonts w:eastAsia="Times New Roman" w:cs="Times New Roman"/>
                        </w:rPr>
                        <w:t xml:space="preserve"> </w:t>
                      </w:r>
                      <w:r>
                        <w:t>PROKURATŪRA</w:t>
                      </w:r>
                    </w:p>
                    <w:p w:rsidR="006F783C" w:rsidRDefault="006F783C" w:rsidP="006F783C">
                      <w:pPr>
                        <w:spacing w:line="288" w:lineRule="auto"/>
                        <w:jc w:val="center"/>
                      </w:pPr>
                      <w:r>
                        <w:t>ĢENERĀLPROKURATŪRAS</w:t>
                      </w:r>
                    </w:p>
                    <w:p w:rsidR="006F783C" w:rsidRPr="000E0857" w:rsidRDefault="006F783C" w:rsidP="006F783C">
                      <w:pPr>
                        <w:spacing w:line="216" w:lineRule="auto"/>
                        <w:jc w:val="center"/>
                        <w:rPr>
                          <w:b/>
                          <w:lang w:val="de-DE"/>
                        </w:rPr>
                      </w:pPr>
                      <w:r w:rsidRPr="000E0857">
                        <w:rPr>
                          <w:b/>
                          <w:lang w:val="de-DE"/>
                        </w:rPr>
                        <w:t>KRIMINĀLTIESISKAIS</w:t>
                      </w:r>
                      <w:r w:rsidRPr="000E0857">
                        <w:rPr>
                          <w:rFonts w:eastAsia="Times New Roman" w:cs="Times New Roman"/>
                          <w:b/>
                          <w:lang w:val="de-DE"/>
                        </w:rPr>
                        <w:t xml:space="preserve"> </w:t>
                      </w:r>
                      <w:r w:rsidRPr="000E0857">
                        <w:rPr>
                          <w:b/>
                          <w:lang w:val="de-DE"/>
                        </w:rPr>
                        <w:t>DEPARTAMENTS</w:t>
                      </w:r>
                    </w:p>
                    <w:p w:rsidR="006F783C" w:rsidRDefault="006F783C" w:rsidP="006F783C">
                      <w:pPr>
                        <w:spacing w:line="216" w:lineRule="auto"/>
                        <w:jc w:val="center"/>
                        <w:rPr>
                          <w:b/>
                          <w:sz w:val="8"/>
                        </w:rPr>
                      </w:pPr>
                    </w:p>
                    <w:p w:rsidR="006F783C" w:rsidRDefault="006F783C" w:rsidP="006F783C">
                      <w:pPr>
                        <w:jc w:val="center"/>
                        <w:rPr>
                          <w:sz w:val="22"/>
                        </w:rPr>
                      </w:pPr>
                      <w:proofErr w:type="spellStart"/>
                      <w:r>
                        <w:rPr>
                          <w:sz w:val="22"/>
                        </w:rPr>
                        <w:t>Reģ.Nr</w:t>
                      </w:r>
                      <w:proofErr w:type="spellEnd"/>
                      <w:r>
                        <w:rPr>
                          <w:sz w:val="22"/>
                        </w:rPr>
                        <w:t>.</w:t>
                      </w:r>
                      <w:r>
                        <w:rPr>
                          <w:rFonts w:eastAsia="Times New Roman" w:cs="Times New Roman"/>
                          <w:sz w:val="22"/>
                        </w:rPr>
                        <w:t xml:space="preserve"> </w:t>
                      </w:r>
                      <w:r>
                        <w:rPr>
                          <w:sz w:val="22"/>
                        </w:rPr>
                        <w:t>90000022859,</w:t>
                      </w:r>
                      <w:r>
                        <w:rPr>
                          <w:rFonts w:eastAsia="Times New Roman" w:cs="Times New Roman"/>
                          <w:sz w:val="22"/>
                        </w:rPr>
                        <w:t xml:space="preserve"> </w:t>
                      </w:r>
                      <w:r>
                        <w:rPr>
                          <w:sz w:val="22"/>
                        </w:rPr>
                        <w:t>Kalpaka</w:t>
                      </w:r>
                      <w:r>
                        <w:rPr>
                          <w:rFonts w:eastAsia="Times New Roman" w:cs="Times New Roman"/>
                          <w:sz w:val="22"/>
                        </w:rPr>
                        <w:t xml:space="preserve"> </w:t>
                      </w:r>
                      <w:r>
                        <w:rPr>
                          <w:sz w:val="22"/>
                        </w:rPr>
                        <w:t>bulvārī</w:t>
                      </w:r>
                      <w:r>
                        <w:rPr>
                          <w:rFonts w:eastAsia="Times New Roman" w:cs="Times New Roman"/>
                          <w:sz w:val="22"/>
                        </w:rPr>
                        <w:t xml:space="preserve"> </w:t>
                      </w:r>
                      <w:r>
                        <w:rPr>
                          <w:sz w:val="22"/>
                        </w:rPr>
                        <w:t>6,</w:t>
                      </w:r>
                      <w:r>
                        <w:rPr>
                          <w:rFonts w:eastAsia="Times New Roman" w:cs="Times New Roman"/>
                          <w:sz w:val="22"/>
                        </w:rPr>
                        <w:t xml:space="preserve"> </w:t>
                      </w:r>
                      <w:r>
                        <w:rPr>
                          <w:sz w:val="22"/>
                        </w:rPr>
                        <w:t>Rīgā,</w:t>
                      </w:r>
                      <w:r>
                        <w:rPr>
                          <w:rFonts w:eastAsia="Times New Roman" w:cs="Times New Roman"/>
                          <w:sz w:val="22"/>
                        </w:rPr>
                        <w:t xml:space="preserve"> </w:t>
                      </w:r>
                      <w:r>
                        <w:rPr>
                          <w:sz w:val="22"/>
                        </w:rPr>
                        <w:t>LV-1801</w:t>
                      </w:r>
                    </w:p>
                    <w:p w:rsidR="006F783C" w:rsidRDefault="006F783C" w:rsidP="006F783C">
                      <w:pPr>
                        <w:jc w:val="center"/>
                        <w:rPr>
                          <w:sz w:val="22"/>
                        </w:rPr>
                      </w:pPr>
                      <w:r>
                        <w:rPr>
                          <w:sz w:val="22"/>
                        </w:rPr>
                        <w:t>tālr.</w:t>
                      </w:r>
                      <w:r>
                        <w:rPr>
                          <w:rFonts w:eastAsia="Times New Roman" w:cs="Times New Roman"/>
                          <w:sz w:val="22"/>
                        </w:rPr>
                        <w:t xml:space="preserve"> </w:t>
                      </w:r>
                      <w:r>
                        <w:rPr>
                          <w:sz w:val="22"/>
                        </w:rPr>
                        <w:t>67044443,</w:t>
                      </w:r>
                      <w:r>
                        <w:rPr>
                          <w:rFonts w:eastAsia="Times New Roman" w:cs="Times New Roman"/>
                          <w:sz w:val="22"/>
                        </w:rPr>
                        <w:t xml:space="preserve"> </w:t>
                      </w:r>
                      <w:r>
                        <w:rPr>
                          <w:sz w:val="22"/>
                        </w:rPr>
                        <w:t>fakss</w:t>
                      </w:r>
                      <w:r>
                        <w:rPr>
                          <w:rFonts w:eastAsia="Times New Roman" w:cs="Times New Roman"/>
                          <w:sz w:val="22"/>
                        </w:rPr>
                        <w:t xml:space="preserve"> </w:t>
                      </w:r>
                      <w:r>
                        <w:rPr>
                          <w:sz w:val="22"/>
                        </w:rPr>
                        <w:t>67044449,</w:t>
                      </w:r>
                      <w:r>
                        <w:rPr>
                          <w:rFonts w:eastAsia="Times New Roman" w:cs="Times New Roman"/>
                          <w:sz w:val="22"/>
                        </w:rPr>
                        <w:t xml:space="preserve"> </w:t>
                      </w:r>
                      <w:r>
                        <w:rPr>
                          <w:sz w:val="22"/>
                        </w:rPr>
                        <w:t>e-pasts:</w:t>
                      </w:r>
                      <w:r>
                        <w:rPr>
                          <w:rFonts w:eastAsia="Times New Roman" w:cs="Times New Roman"/>
                          <w:sz w:val="22"/>
                        </w:rPr>
                        <w:t xml:space="preserve"> krimdep</w:t>
                      </w:r>
                      <w:r>
                        <w:rPr>
                          <w:sz w:val="22"/>
                        </w:rPr>
                        <w:t>@lrp.gov.lv</w:t>
                      </w:r>
                    </w:p>
                  </w:txbxContent>
                </v:textbox>
                <w10:wrap type="topAndBottom"/>
              </v:shape>
            </w:pict>
          </mc:Fallback>
        </mc:AlternateContent>
      </w:r>
      <w:r>
        <w:rPr>
          <w:noProof/>
          <w:lang w:val="en-US" w:eastAsia="en-US" w:bidi="ar-SA"/>
        </w:rPr>
        <mc:AlternateContent>
          <mc:Choice Requires="wps">
            <w:drawing>
              <wp:anchor distT="0" distB="0" distL="114300" distR="114300" simplePos="0" relativeHeight="251660288" behindDoc="0" locked="0" layoutInCell="1" allowOverlap="1" wp14:anchorId="0F5BD516" wp14:editId="510A57DA">
                <wp:simplePos x="0" y="0"/>
                <wp:positionH relativeFrom="column">
                  <wp:posOffset>-99060</wp:posOffset>
                </wp:positionH>
                <wp:positionV relativeFrom="paragraph">
                  <wp:posOffset>1099820</wp:posOffset>
                </wp:positionV>
                <wp:extent cx="5923915" cy="635"/>
                <wp:effectExtent l="15240" t="10160"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7A90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6.6pt" to="458.6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" strokeweight=".35mm">
                <v:stroke joinstyle="miter"/>
              </v:line>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14:anchorId="14D91C24" wp14:editId="681951AA">
                <wp:simplePos x="0" y="0"/>
                <wp:positionH relativeFrom="column">
                  <wp:posOffset>-99060</wp:posOffset>
                </wp:positionH>
                <wp:positionV relativeFrom="paragraph">
                  <wp:posOffset>1054100</wp:posOffset>
                </wp:positionV>
                <wp:extent cx="5923915" cy="635"/>
                <wp:effectExtent l="15240" t="12065"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1B0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3pt" to="458.6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" strokeweight=".35mm">
                <v:stroke joinstyle="miter"/>
              </v:line>
            </w:pict>
          </mc:Fallback>
        </mc:AlternateContent>
      </w:r>
      <w:r>
        <w:rPr>
          <w:noProof/>
          <w:lang w:val="en-US" w:eastAsia="en-US" w:bidi="ar-SA"/>
        </w:rPr>
        <w:drawing>
          <wp:anchor distT="0" distB="0" distL="0" distR="0" simplePos="0" relativeHeight="251662336" behindDoc="0" locked="0" layoutInCell="1" allowOverlap="1" wp14:anchorId="2E5ED6A1" wp14:editId="075C993C">
            <wp:simplePos x="0" y="0"/>
            <wp:positionH relativeFrom="page">
              <wp:posOffset>1214755</wp:posOffset>
            </wp:positionH>
            <wp:positionV relativeFrom="page">
              <wp:posOffset>497840</wp:posOffset>
            </wp:positionV>
            <wp:extent cx="1203325" cy="120586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325" cy="1205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8985" w:type="dxa"/>
        <w:tblInd w:w="55" w:type="dxa"/>
        <w:tblLayout w:type="fixed"/>
        <w:tblCellMar>
          <w:top w:w="55" w:type="dxa"/>
          <w:left w:w="55" w:type="dxa"/>
          <w:bottom w:w="55" w:type="dxa"/>
          <w:right w:w="55" w:type="dxa"/>
        </w:tblCellMar>
        <w:tblLook w:val="0000" w:firstRow="0" w:lastRow="0" w:firstColumn="0" w:lastColumn="0" w:noHBand="0" w:noVBand="0"/>
      </w:tblPr>
      <w:tblGrid>
        <w:gridCol w:w="8985"/>
      </w:tblGrid>
      <w:tr w:rsidR="006F783C" w:rsidTr="000E6E84">
        <w:trPr>
          <w:trHeight w:val="559"/>
        </w:trPr>
        <w:tc>
          <w:tcPr>
            <w:tcW w:w="8985" w:type="dxa"/>
            <w:shd w:val="clear" w:color="auto" w:fill="auto"/>
          </w:tcPr>
          <w:p w:rsidR="006F783C" w:rsidRDefault="006F783C" w:rsidP="00826A4E">
            <w:pPr>
              <w:snapToGrid w:val="0"/>
              <w:jc w:val="center"/>
              <w:rPr>
                <w:b/>
              </w:rPr>
            </w:pPr>
            <w:r>
              <w:rPr>
                <w:b/>
              </w:rPr>
              <w:t>RĪGĀ</w:t>
            </w:r>
          </w:p>
        </w:tc>
      </w:tr>
    </w:tbl>
    <w:p w:rsidR="00EA407A" w:rsidRDefault="006C0722" w:rsidP="00826A4E">
      <w:pPr>
        <w:ind w:firstLine="720"/>
      </w:pPr>
      <w:r>
        <w:t>2017.gada 14</w:t>
      </w:r>
      <w:r w:rsidR="00EA407A">
        <w:t>.augustā</w:t>
      </w:r>
    </w:p>
    <w:p w:rsidR="00EA407A" w:rsidRDefault="00EA407A" w:rsidP="00826A4E">
      <w:pPr>
        <w:ind w:firstLine="720"/>
        <w:jc w:val="right"/>
      </w:pPr>
    </w:p>
    <w:p w:rsidR="008346F2" w:rsidRDefault="008346F2" w:rsidP="00826A4E">
      <w:pPr>
        <w:ind w:firstLine="720"/>
        <w:jc w:val="right"/>
      </w:pPr>
      <w:r>
        <w:t>Latvijas Republikas Saeimas</w:t>
      </w:r>
    </w:p>
    <w:p w:rsidR="008346F2" w:rsidRDefault="008346F2" w:rsidP="00826A4E">
      <w:pPr>
        <w:ind w:firstLine="720"/>
        <w:jc w:val="right"/>
      </w:pPr>
      <w:r>
        <w:t>Parlamentārās izmeklēšanas komisijas “Par valsts nozagšanas pazīmēm un pirmstiesas izmeklēšanas kvalitāti kriminālprocesā Nr.16870000911” priekšsēdētājai</w:t>
      </w:r>
    </w:p>
    <w:p w:rsidR="008346F2" w:rsidRDefault="008346F2" w:rsidP="00826A4E">
      <w:pPr>
        <w:ind w:firstLine="720"/>
        <w:jc w:val="right"/>
      </w:pPr>
      <w:r>
        <w:t>I.Sudrabas kundzei</w:t>
      </w:r>
    </w:p>
    <w:p w:rsidR="008346F2" w:rsidRDefault="008346F2" w:rsidP="00826A4E">
      <w:pPr>
        <w:ind w:firstLine="720"/>
        <w:jc w:val="right"/>
      </w:pPr>
      <w:r>
        <w:t>Jēkaba iela 11, Rīga, LV-1811</w:t>
      </w:r>
    </w:p>
    <w:p w:rsidR="008346F2" w:rsidRDefault="008346F2" w:rsidP="00826A4E">
      <w:pPr>
        <w:ind w:firstLine="720"/>
        <w:jc w:val="right"/>
      </w:pPr>
    </w:p>
    <w:p w:rsidR="00EA407A" w:rsidRDefault="00EA407A" w:rsidP="00826A4E">
      <w:pPr>
        <w:ind w:firstLine="720"/>
        <w:jc w:val="right"/>
      </w:pPr>
    </w:p>
    <w:p w:rsidR="00EA407A" w:rsidRPr="00EA407A" w:rsidRDefault="006D6BA5" w:rsidP="00826A4E">
      <w:pPr>
        <w:ind w:firstLine="720"/>
        <w:jc w:val="both"/>
        <w:rPr>
          <w:b/>
        </w:rPr>
      </w:pPr>
      <w:r>
        <w:rPr>
          <w:b/>
        </w:rPr>
        <w:t>P</w:t>
      </w:r>
      <w:r w:rsidR="00EA407A" w:rsidRPr="00EA407A">
        <w:rPr>
          <w:b/>
        </w:rPr>
        <w:t xml:space="preserve">ar </w:t>
      </w:r>
      <w:r w:rsidR="00F71B68">
        <w:rPr>
          <w:b/>
        </w:rPr>
        <w:t>izmeklēšanas uzraudzību kriminālprocesā</w:t>
      </w:r>
      <w:r w:rsidR="00EA407A" w:rsidRPr="00EA407A">
        <w:rPr>
          <w:b/>
        </w:rPr>
        <w:t xml:space="preserve"> Nr.16870000911</w:t>
      </w:r>
    </w:p>
    <w:p w:rsidR="008346F2" w:rsidRDefault="008346F2" w:rsidP="00826A4E">
      <w:pPr>
        <w:ind w:firstLine="720"/>
        <w:jc w:val="both"/>
      </w:pPr>
    </w:p>
    <w:p w:rsidR="008346F2" w:rsidRDefault="008346F2" w:rsidP="00826A4E">
      <w:pPr>
        <w:ind w:firstLine="720"/>
        <w:jc w:val="both"/>
      </w:pPr>
      <w:r>
        <w:t>Izpildot 2017.gada 8.augusta Parlamentārās izmeklēšanas ko</w:t>
      </w:r>
      <w:r w:rsidR="006C0722">
        <w:t xml:space="preserve">misijas sēdē pieņemto lēmumu, </w:t>
      </w:r>
      <w:r>
        <w:t>sniedzu Jums info</w:t>
      </w:r>
      <w:r w:rsidR="00F71B68">
        <w:t>rmāciju par izmeklēšanas uzraudzību kriminālprocesā Nr.16870000911, tajā skaitā prokuroru veiktajām darbībām un norādījumiem.</w:t>
      </w:r>
    </w:p>
    <w:p w:rsidR="00842C0D" w:rsidRDefault="008346F2" w:rsidP="00826A4E">
      <w:pPr>
        <w:ind w:firstLine="720"/>
        <w:jc w:val="both"/>
      </w:pPr>
      <w:r>
        <w:t>Sas</w:t>
      </w:r>
      <w:r w:rsidR="00D824A4">
        <w:t>ka</w:t>
      </w:r>
      <w:r w:rsidR="00842C0D">
        <w:t>ņā ar Kriminālprocesa likuma 37.panta pirmo</w:t>
      </w:r>
      <w:r w:rsidR="00D824A4">
        <w:t xml:space="preserve"> daļu</w:t>
      </w:r>
      <w:r>
        <w:t xml:space="preserve"> </w:t>
      </w:r>
      <w:r w:rsidR="00842C0D">
        <w:t xml:space="preserve">kopš kriminālprocesa Nr.16870000911 uzsākšanas </w:t>
      </w:r>
      <w:r w:rsidR="00F13579">
        <w:t>visā tā izmeklēšanas laikā biju izmeklēšanu uzraugošais prokurors</w:t>
      </w:r>
      <w:r w:rsidR="00842C0D">
        <w:t>.</w:t>
      </w:r>
    </w:p>
    <w:p w:rsidR="008346F2" w:rsidRPr="008328BF" w:rsidRDefault="008346F2" w:rsidP="00826A4E">
      <w:pPr>
        <w:ind w:firstLine="720"/>
        <w:jc w:val="both"/>
        <w:rPr>
          <w:rFonts w:cs="Times New Roman"/>
        </w:rPr>
      </w:pPr>
      <w:r w:rsidRPr="008328BF">
        <w:t>U</w:t>
      </w:r>
      <w:r w:rsidR="00CA701A">
        <w:t xml:space="preserve">zraugošā prokurora pienākumi </w:t>
      </w:r>
      <w:r w:rsidRPr="008328BF">
        <w:t>noteikti Kriminālprocesa likuma 37.p</w:t>
      </w:r>
      <w:r w:rsidR="006C0722">
        <w:t>anta otrajā daļā. S</w:t>
      </w:r>
      <w:r w:rsidRPr="008328BF">
        <w:rPr>
          <w:rFonts w:eastAsia="Times New Roman" w:cs="Times New Roman"/>
          <w:lang w:eastAsia="lv-LV"/>
        </w:rPr>
        <w:t>varīgāki</w:t>
      </w:r>
      <w:r>
        <w:rPr>
          <w:rFonts w:eastAsia="Times New Roman" w:cs="Times New Roman"/>
          <w:lang w:eastAsia="lv-LV"/>
        </w:rPr>
        <w:t>e</w:t>
      </w:r>
      <w:r w:rsidRPr="008328BF">
        <w:rPr>
          <w:rFonts w:eastAsia="Times New Roman" w:cs="Times New Roman"/>
          <w:lang w:eastAsia="lv-LV"/>
        </w:rPr>
        <w:t xml:space="preserve"> uzraugošā prokurora pienākumi ir šādi</w:t>
      </w:r>
      <w:r w:rsidRPr="000D0543">
        <w:rPr>
          <w:rFonts w:eastAsia="Times New Roman" w:cs="Times New Roman"/>
          <w:lang w:eastAsia="lv-LV"/>
        </w:rPr>
        <w:t>:</w:t>
      </w:r>
    </w:p>
    <w:p w:rsidR="008346F2" w:rsidRPr="008328BF" w:rsidRDefault="008346F2" w:rsidP="00826A4E">
      <w:pPr>
        <w:pStyle w:val="ListParagraph"/>
        <w:numPr>
          <w:ilvl w:val="0"/>
          <w:numId w:val="1"/>
        </w:numPr>
        <w:spacing w:after="0" w:line="240" w:lineRule="auto"/>
        <w:jc w:val="both"/>
        <w:rPr>
          <w:rFonts w:cs="Times New Roman"/>
          <w:szCs w:val="24"/>
        </w:rPr>
      </w:pPr>
      <w:r w:rsidRPr="008328BF">
        <w:rPr>
          <w:rFonts w:eastAsia="Times New Roman" w:cs="Times New Roman"/>
          <w:szCs w:val="24"/>
          <w:lang w:eastAsia="lv-LV"/>
        </w:rPr>
        <w:t>dot norādījumus par izmeklēšanas virzienu un izmeklēšanas darbību veikšanu, ja procesa virzītājs nenodrošina mērķtiecīgu izmeklēšanu un pieļauj neattaisnotu iejaukšanos personas dzīvē vai vilcināšanos;</w:t>
      </w:r>
    </w:p>
    <w:p w:rsidR="008346F2" w:rsidRPr="008F69A3" w:rsidRDefault="008346F2" w:rsidP="00826A4E">
      <w:pPr>
        <w:pStyle w:val="ListParagraph"/>
        <w:numPr>
          <w:ilvl w:val="0"/>
          <w:numId w:val="1"/>
        </w:numPr>
        <w:spacing w:after="0" w:line="240" w:lineRule="auto"/>
        <w:jc w:val="both"/>
        <w:rPr>
          <w:rFonts w:cs="Times New Roman"/>
          <w:szCs w:val="24"/>
        </w:rPr>
      </w:pPr>
      <w:r w:rsidRPr="008328BF">
        <w:rPr>
          <w:rFonts w:eastAsia="Times New Roman" w:cs="Times New Roman"/>
          <w:szCs w:val="24"/>
          <w:lang w:eastAsia="lv-LV"/>
        </w:rPr>
        <w:t>izskatīt sūdzības savas kompetences ietvaros.</w:t>
      </w:r>
    </w:p>
    <w:p w:rsidR="0040260E" w:rsidRPr="00CC3FFD" w:rsidRDefault="00F5713B" w:rsidP="00826A4E">
      <w:pPr>
        <w:ind w:firstLine="720"/>
        <w:jc w:val="both"/>
        <w:rPr>
          <w:rFonts w:cs="Times New Roman"/>
        </w:rPr>
      </w:pPr>
      <w:r>
        <w:rPr>
          <w:rFonts w:cs="Times New Roman"/>
        </w:rPr>
        <w:t>V</w:t>
      </w:r>
      <w:r w:rsidR="00CC3FFD">
        <w:rPr>
          <w:rFonts w:cs="Times New Roman"/>
        </w:rPr>
        <w:t xml:space="preserve">ispirms </w:t>
      </w:r>
      <w:r w:rsidR="00684F16">
        <w:rPr>
          <w:rFonts w:cs="Times New Roman"/>
        </w:rPr>
        <w:t>nepieciešams</w:t>
      </w:r>
      <w:r w:rsidR="00CC3FFD">
        <w:rPr>
          <w:rFonts w:cs="Times New Roman"/>
        </w:rPr>
        <w:t xml:space="preserve"> paskaidrot, </w:t>
      </w:r>
      <w:r w:rsidR="0040260E" w:rsidRPr="00CC3FFD">
        <w:rPr>
          <w:rFonts w:cs="Times New Roman"/>
        </w:rPr>
        <w:t>kādi noziedzīgi</w:t>
      </w:r>
      <w:r w:rsidR="002A7E28">
        <w:rPr>
          <w:rFonts w:cs="Times New Roman"/>
        </w:rPr>
        <w:t>e</w:t>
      </w:r>
      <w:r w:rsidR="0040260E" w:rsidRPr="00CC3FFD">
        <w:rPr>
          <w:rFonts w:cs="Times New Roman"/>
        </w:rPr>
        <w:t xml:space="preserve"> nodarījumi </w:t>
      </w:r>
      <w:r w:rsidR="008346F2" w:rsidRPr="00CC3FFD">
        <w:rPr>
          <w:rFonts w:cs="Times New Roman"/>
        </w:rPr>
        <w:t>izmeklēt</w:t>
      </w:r>
      <w:r w:rsidR="00CC3FFD">
        <w:rPr>
          <w:rFonts w:cs="Times New Roman"/>
        </w:rPr>
        <w:t xml:space="preserve">i šajā kriminālprocesā un </w:t>
      </w:r>
      <w:r w:rsidR="008346F2" w:rsidRPr="00CC3FFD">
        <w:rPr>
          <w:rFonts w:cs="Times New Roman"/>
        </w:rPr>
        <w:t>kādi</w:t>
      </w:r>
      <w:r w:rsidR="00CC3FFD">
        <w:rPr>
          <w:rFonts w:cs="Times New Roman"/>
        </w:rPr>
        <w:t xml:space="preserve"> bija svarīgākie pierādāmie</w:t>
      </w:r>
      <w:r w:rsidR="008346F2" w:rsidRPr="00CC3FFD">
        <w:rPr>
          <w:rFonts w:cs="Times New Roman"/>
        </w:rPr>
        <w:t xml:space="preserve"> </w:t>
      </w:r>
      <w:r w:rsidR="00CC3FFD">
        <w:rPr>
          <w:rFonts w:cs="Times New Roman"/>
        </w:rPr>
        <w:t>fakti</w:t>
      </w:r>
      <w:r w:rsidR="002A7E28">
        <w:rPr>
          <w:rFonts w:cs="Times New Roman"/>
        </w:rPr>
        <w:t xml:space="preserve">, </w:t>
      </w:r>
      <w:r w:rsidR="00BF4C27">
        <w:rPr>
          <w:rFonts w:cs="Times New Roman"/>
        </w:rPr>
        <w:t xml:space="preserve">jo, </w:t>
      </w:r>
      <w:r w:rsidR="002A7E28">
        <w:rPr>
          <w:rFonts w:cs="Times New Roman"/>
        </w:rPr>
        <w:t>tikai sni</w:t>
      </w:r>
      <w:r w:rsidR="00842C0D">
        <w:rPr>
          <w:rFonts w:cs="Times New Roman"/>
        </w:rPr>
        <w:t>edzot šo informāciju</w:t>
      </w:r>
      <w:r>
        <w:rPr>
          <w:rFonts w:cs="Times New Roman"/>
        </w:rPr>
        <w:t>, iespējams vispusīgi atspoguļot jautājumu par prokurora veiktajām darbībām un norādījumiem</w:t>
      </w:r>
      <w:r w:rsidR="00BF4C27">
        <w:rPr>
          <w:rFonts w:cs="Times New Roman"/>
        </w:rPr>
        <w:t>.</w:t>
      </w:r>
    </w:p>
    <w:p w:rsidR="008346F2" w:rsidRDefault="008346F2" w:rsidP="00826A4E">
      <w:pPr>
        <w:ind w:firstLine="720"/>
        <w:jc w:val="both"/>
        <w:rPr>
          <w:rFonts w:cs="Times New Roman"/>
        </w:rPr>
      </w:pPr>
      <w:r>
        <w:rPr>
          <w:rFonts w:cs="Times New Roman"/>
        </w:rPr>
        <w:t>Kriminālprocesā galvenā uzmanība veltīta šādiem izmeklēšanas virzieniem:</w:t>
      </w:r>
    </w:p>
    <w:p w:rsidR="008346F2" w:rsidRPr="0012322D" w:rsidRDefault="008346F2" w:rsidP="00826A4E">
      <w:pPr>
        <w:pStyle w:val="ListParagraph"/>
        <w:numPr>
          <w:ilvl w:val="0"/>
          <w:numId w:val="7"/>
        </w:numPr>
        <w:spacing w:after="0" w:line="240" w:lineRule="auto"/>
        <w:jc w:val="both"/>
        <w:rPr>
          <w:rFonts w:cs="Times New Roman"/>
        </w:rPr>
      </w:pPr>
      <w:r w:rsidRPr="0012322D">
        <w:rPr>
          <w:rFonts w:cs="Times New Roman"/>
        </w:rPr>
        <w:t>A.Šlesera slēptās īpašum</w:t>
      </w:r>
      <w:r w:rsidR="00F5713B">
        <w:rPr>
          <w:rFonts w:cs="Times New Roman"/>
        </w:rPr>
        <w:t xml:space="preserve">a </w:t>
      </w:r>
      <w:r w:rsidRPr="0012322D">
        <w:rPr>
          <w:rFonts w:cs="Times New Roman"/>
        </w:rPr>
        <w:t>tiesības SIA “Rīgas Tirdzniecības osta”</w:t>
      </w:r>
      <w:r w:rsidR="00432054">
        <w:rPr>
          <w:rFonts w:cs="Times New Roman"/>
        </w:rPr>
        <w:t xml:space="preserve"> (Krimināllikuma 219.p. 2.d., 325.p.., 326.p., 318.p. 2.d.)</w:t>
      </w:r>
      <w:r w:rsidRPr="0012322D">
        <w:rPr>
          <w:rFonts w:cs="Times New Roman"/>
        </w:rPr>
        <w:t>;</w:t>
      </w:r>
    </w:p>
    <w:p w:rsidR="008346F2" w:rsidRPr="0012322D" w:rsidRDefault="008346F2" w:rsidP="00826A4E">
      <w:pPr>
        <w:pStyle w:val="ListParagraph"/>
        <w:numPr>
          <w:ilvl w:val="0"/>
          <w:numId w:val="7"/>
        </w:numPr>
        <w:spacing w:after="0" w:line="240" w:lineRule="auto"/>
        <w:jc w:val="both"/>
        <w:rPr>
          <w:rFonts w:cs="Times New Roman"/>
          <w:szCs w:val="24"/>
        </w:rPr>
      </w:pPr>
      <w:r w:rsidRPr="0012322D">
        <w:rPr>
          <w:rFonts w:cs="Times New Roman"/>
          <w:szCs w:val="24"/>
        </w:rPr>
        <w:t xml:space="preserve">A.Šlesera </w:t>
      </w:r>
      <w:r>
        <w:t>iespējamās</w:t>
      </w:r>
      <w:r w:rsidRPr="00CF7C6F">
        <w:t xml:space="preserve"> pretlik</w:t>
      </w:r>
      <w:r w:rsidR="00F5713B">
        <w:t>umīgā</w:t>
      </w:r>
      <w:r>
        <w:t>s darbības, lai par Rīgas b</w:t>
      </w:r>
      <w:r w:rsidRPr="00CF7C6F">
        <w:t>rīvostas valdes priekš</w:t>
      </w:r>
      <w:r>
        <w:t>sēdētāju ieceltu</w:t>
      </w:r>
      <w:r w:rsidRPr="00CF7C6F">
        <w:t xml:space="preserve"> </w:t>
      </w:r>
      <w:r w:rsidR="00AA2BAE">
        <w:t>A.</w:t>
      </w:r>
      <w:r>
        <w:t>Ameriku</w:t>
      </w:r>
      <w:r w:rsidR="00432054">
        <w:t xml:space="preserve"> (Krimi</w:t>
      </w:r>
      <w:r w:rsidR="003E443B">
        <w:t>nāllikuma 320.p. 4.d., 323.p. 2.d.</w:t>
      </w:r>
      <w:r w:rsidR="00432054">
        <w:t>).</w:t>
      </w:r>
    </w:p>
    <w:p w:rsidR="007431BD" w:rsidRDefault="00F5713B" w:rsidP="00826A4E">
      <w:pPr>
        <w:ind w:firstLine="720"/>
        <w:jc w:val="both"/>
        <w:rPr>
          <w:rFonts w:cs="Times New Roman"/>
        </w:rPr>
      </w:pPr>
      <w:r>
        <w:rPr>
          <w:rFonts w:cs="Times New Roman"/>
        </w:rPr>
        <w:t xml:space="preserve">Par </w:t>
      </w:r>
      <w:r w:rsidR="008346F2">
        <w:rPr>
          <w:rFonts w:cs="Times New Roman"/>
        </w:rPr>
        <w:t>pirmo izmeklēšanas v</w:t>
      </w:r>
      <w:r>
        <w:rPr>
          <w:rFonts w:cs="Times New Roman"/>
        </w:rPr>
        <w:t>irzienu vispirms</w:t>
      </w:r>
      <w:r w:rsidR="000162F8">
        <w:rPr>
          <w:rFonts w:cs="Times New Roman"/>
        </w:rPr>
        <w:t xml:space="preserve"> norādāms, ka īpašuma tiesību noformēšana uz citas personas vārda kā tāda neveido nev</w:t>
      </w:r>
      <w:r w:rsidR="003E443B">
        <w:rPr>
          <w:rFonts w:cs="Times New Roman"/>
        </w:rPr>
        <w:t>ienu no Krimināllikumā paredzētajiem  noziedzīgajiem nodarījumiem</w:t>
      </w:r>
      <w:r w:rsidR="000162F8">
        <w:rPr>
          <w:rFonts w:cs="Times New Roman"/>
        </w:rPr>
        <w:t>.</w:t>
      </w:r>
      <w:r w:rsidR="00DF32B7">
        <w:rPr>
          <w:rFonts w:cs="Times New Roman"/>
        </w:rPr>
        <w:t xml:space="preserve"> Civiltiesiskajā literatūrā norādīts, ka šāda rīcība var</w:t>
      </w:r>
      <w:r w:rsidR="00EC2D6F">
        <w:rPr>
          <w:rFonts w:cs="Times New Roman"/>
        </w:rPr>
        <w:t xml:space="preserve"> būt tiesiska,</w:t>
      </w:r>
      <w:r w:rsidR="00DF32B7">
        <w:rPr>
          <w:rFonts w:cs="Times New Roman"/>
        </w:rPr>
        <w:t xml:space="preserve"> ja tai nav prettiesiska mērķa, piemēram, lai atvieglotu īpašuma pārva</w:t>
      </w:r>
      <w:r w:rsidR="00EC2D6F">
        <w:rPr>
          <w:rFonts w:cs="Times New Roman"/>
        </w:rPr>
        <w:t>l</w:t>
      </w:r>
      <w:r w:rsidR="00DF32B7">
        <w:rPr>
          <w:rFonts w:cs="Times New Roman"/>
        </w:rPr>
        <w:t>dīšanu vai apsaimnie</w:t>
      </w:r>
      <w:r w:rsidR="00EC2D6F">
        <w:rPr>
          <w:rFonts w:cs="Times New Roman"/>
        </w:rPr>
        <w:t>košanu, ja īstais īpašnieks</w:t>
      </w:r>
      <w:r w:rsidR="005A6699">
        <w:rPr>
          <w:rFonts w:cs="Times New Roman"/>
        </w:rPr>
        <w:t xml:space="preserve"> </w:t>
      </w:r>
      <w:r w:rsidR="00DF32B7">
        <w:rPr>
          <w:rFonts w:cs="Times New Roman"/>
        </w:rPr>
        <w:t xml:space="preserve">nav spējīgs vai nevēlas </w:t>
      </w:r>
      <w:r w:rsidR="00EC2D6F">
        <w:rPr>
          <w:rFonts w:cs="Times New Roman"/>
        </w:rPr>
        <w:t xml:space="preserve">to </w:t>
      </w:r>
      <w:r w:rsidR="00CA701A">
        <w:rPr>
          <w:rFonts w:cs="Times New Roman"/>
        </w:rPr>
        <w:t>darīt pats.</w:t>
      </w:r>
      <w:r w:rsidR="00EC2D6F">
        <w:rPr>
          <w:rFonts w:cs="Times New Roman"/>
        </w:rPr>
        <w:t xml:space="preserve"> Iemesls šādu rīcību vērtēt no krimināltiesiskā viedokļ</w:t>
      </w:r>
      <w:r w:rsidR="004F1C70">
        <w:rPr>
          <w:rFonts w:cs="Times New Roman"/>
        </w:rPr>
        <w:t xml:space="preserve">a rodas tad, ja </w:t>
      </w:r>
      <w:r w:rsidR="007431BD">
        <w:rPr>
          <w:rFonts w:cs="Times New Roman"/>
        </w:rPr>
        <w:t>persona</w:t>
      </w:r>
      <w:r w:rsidR="004F1C70">
        <w:rPr>
          <w:rFonts w:cs="Times New Roman"/>
        </w:rPr>
        <w:t xml:space="preserve">, kura savas īpašuma tiesības noformējusi uz citas personas vārda, </w:t>
      </w:r>
      <w:r w:rsidR="00CA701A">
        <w:rPr>
          <w:rFonts w:cs="Times New Roman"/>
        </w:rPr>
        <w:t>ne</w:t>
      </w:r>
      <w:r w:rsidR="007431BD">
        <w:rPr>
          <w:rFonts w:cs="Times New Roman"/>
        </w:rPr>
        <w:t>pilda</w:t>
      </w:r>
      <w:r w:rsidR="00AA2BAE">
        <w:rPr>
          <w:rFonts w:cs="Times New Roman"/>
        </w:rPr>
        <w:t xml:space="preserve"> pienākumu, par</w:t>
      </w:r>
      <w:r w:rsidR="007431BD">
        <w:rPr>
          <w:rFonts w:cs="Times New Roman"/>
        </w:rPr>
        <w:t xml:space="preserve"> kura ne</w:t>
      </w:r>
      <w:r w:rsidR="00AA2BAE">
        <w:rPr>
          <w:rFonts w:cs="Times New Roman"/>
        </w:rPr>
        <w:t>iz</w:t>
      </w:r>
      <w:r w:rsidR="007431BD">
        <w:rPr>
          <w:rFonts w:cs="Times New Roman"/>
        </w:rPr>
        <w:t>pildīšanu var iestāties kriminālatbildība</w:t>
      </w:r>
      <w:r w:rsidR="005A6699">
        <w:rPr>
          <w:rFonts w:cs="Times New Roman"/>
        </w:rPr>
        <w:t>, piemēram, nenorāda šo īpašumu deklarācijā</w:t>
      </w:r>
      <w:r w:rsidR="00EC2D6F">
        <w:rPr>
          <w:rFonts w:cs="Times New Roman"/>
        </w:rPr>
        <w:t>, vai veic citas darbības, kas var</w:t>
      </w:r>
      <w:r w:rsidR="007431BD">
        <w:rPr>
          <w:rFonts w:cs="Times New Roman"/>
        </w:rPr>
        <w:t xml:space="preserve"> veidot noziedzīga</w:t>
      </w:r>
      <w:r w:rsidR="00EC2D6F">
        <w:rPr>
          <w:rFonts w:cs="Times New Roman"/>
        </w:rPr>
        <w:t xml:space="preserve"> nodarījuma sastāvu.</w:t>
      </w:r>
      <w:r w:rsidR="007431BD">
        <w:rPr>
          <w:rFonts w:cs="Times New Roman"/>
        </w:rPr>
        <w:t xml:space="preserve"> </w:t>
      </w:r>
    </w:p>
    <w:p w:rsidR="000162F8" w:rsidRDefault="007431BD" w:rsidP="00826A4E">
      <w:pPr>
        <w:ind w:firstLine="720"/>
        <w:jc w:val="both"/>
        <w:rPr>
          <w:rFonts w:cs="Times New Roman"/>
        </w:rPr>
      </w:pPr>
      <w:r>
        <w:rPr>
          <w:rFonts w:cs="Times New Roman"/>
        </w:rPr>
        <w:t>Persona, kura savas īpašuma tiesības noformējusi uz citas personas vārda, tiek dēvēta par saimniecisko (faktisko jeb slēpto) īpašnieku.</w:t>
      </w:r>
    </w:p>
    <w:p w:rsidR="008346F2" w:rsidRDefault="00A23F4A" w:rsidP="00826A4E">
      <w:pPr>
        <w:ind w:firstLine="720"/>
        <w:jc w:val="both"/>
        <w:rPr>
          <w:rFonts w:cs="Times New Roman"/>
        </w:rPr>
      </w:pPr>
      <w:r>
        <w:rPr>
          <w:rFonts w:cs="Times New Roman"/>
        </w:rPr>
        <w:lastRenderedPageBreak/>
        <w:t>A</w:t>
      </w:r>
      <w:r w:rsidR="0012322D">
        <w:rPr>
          <w:rFonts w:cs="Times New Roman"/>
        </w:rPr>
        <w:t xml:space="preserve">tkarībā </w:t>
      </w:r>
      <w:r w:rsidR="008346F2">
        <w:rPr>
          <w:rFonts w:cs="Times New Roman"/>
        </w:rPr>
        <w:t>no tā, vai būtu pierādīts, ka A.Šleseram saimnieciski (faktiski jeb slēpti) pieder</w:t>
      </w:r>
      <w:r w:rsidR="0012322D">
        <w:rPr>
          <w:rFonts w:cs="Times New Roman"/>
        </w:rPr>
        <w:t>ēja</w:t>
      </w:r>
      <w:r w:rsidR="008346F2">
        <w:rPr>
          <w:rFonts w:cs="Times New Roman"/>
        </w:rPr>
        <w:t xml:space="preserve"> </w:t>
      </w:r>
      <w:r w:rsidR="0012322D">
        <w:rPr>
          <w:rFonts w:cs="Times New Roman"/>
        </w:rPr>
        <w:t xml:space="preserve">kapitāla daļas </w:t>
      </w:r>
      <w:r w:rsidR="008346F2">
        <w:rPr>
          <w:rFonts w:cs="Times New Roman"/>
        </w:rPr>
        <w:t>SIA “Rīgas Tirdzniecības osta” (vai kādā citā uzņēmumā)</w:t>
      </w:r>
      <w:r w:rsidR="00494BC4">
        <w:rPr>
          <w:rFonts w:cs="Times New Roman"/>
        </w:rPr>
        <w:t xml:space="preserve">, </w:t>
      </w:r>
      <w:r>
        <w:rPr>
          <w:rFonts w:cs="Times New Roman"/>
        </w:rPr>
        <w:t>viņa rīcībā varēja būt konstatēti vairāki noziedzīgi nodarījumi</w:t>
      </w:r>
      <w:r w:rsidR="000010CD">
        <w:rPr>
          <w:rFonts w:cs="Times New Roman"/>
        </w:rPr>
        <w:t>:</w:t>
      </w:r>
    </w:p>
    <w:p w:rsidR="008346F2" w:rsidRPr="00A23F4A" w:rsidRDefault="008346F2" w:rsidP="00826A4E">
      <w:pPr>
        <w:pStyle w:val="ListParagraph"/>
        <w:numPr>
          <w:ilvl w:val="0"/>
          <w:numId w:val="8"/>
        </w:numPr>
        <w:spacing w:after="0" w:line="240" w:lineRule="auto"/>
        <w:jc w:val="both"/>
        <w:rPr>
          <w:rFonts w:cs="Times New Roman"/>
        </w:rPr>
      </w:pPr>
      <w:r w:rsidRPr="00A23F4A">
        <w:rPr>
          <w:rFonts w:cs="Times New Roman"/>
        </w:rPr>
        <w:t>ap</w:t>
      </w:r>
      <w:r w:rsidR="00A23F4A">
        <w:rPr>
          <w:rFonts w:cs="Times New Roman"/>
        </w:rPr>
        <w:t>zināti nepatiesu ziņu norādīšana</w:t>
      </w:r>
      <w:r w:rsidRPr="00A23F4A">
        <w:rPr>
          <w:rFonts w:cs="Times New Roman"/>
        </w:rPr>
        <w:t xml:space="preserve"> valsts amatpersonas deklarācijā, kas izpaudusies kā attiecīgo kapi</w:t>
      </w:r>
      <w:r w:rsidR="00D15952">
        <w:rPr>
          <w:rFonts w:cs="Times New Roman"/>
        </w:rPr>
        <w:t>tāla daļu nenorādīšana</w:t>
      </w:r>
      <w:r w:rsidR="00826A4E">
        <w:rPr>
          <w:rFonts w:cs="Times New Roman"/>
        </w:rPr>
        <w:t xml:space="preserve"> (Krimināllikuma 219.p. 2.d.);</w:t>
      </w:r>
    </w:p>
    <w:p w:rsidR="00826A4E" w:rsidRDefault="00A23F4A" w:rsidP="00826A4E">
      <w:pPr>
        <w:pStyle w:val="ListParagraph"/>
        <w:numPr>
          <w:ilvl w:val="0"/>
          <w:numId w:val="8"/>
        </w:numPr>
        <w:spacing w:after="0" w:line="240" w:lineRule="auto"/>
        <w:jc w:val="both"/>
        <w:rPr>
          <w:rFonts w:cs="Times New Roman"/>
        </w:rPr>
      </w:pPr>
      <w:r w:rsidRPr="00826A4E">
        <w:rPr>
          <w:rFonts w:cs="Times New Roman"/>
        </w:rPr>
        <w:t>valsts amatpersonai noteikto ierobežojumu pārkāpšana un neatļauta</w:t>
      </w:r>
      <w:r w:rsidR="00826A4E" w:rsidRPr="00826A4E">
        <w:rPr>
          <w:rFonts w:cs="Times New Roman"/>
        </w:rPr>
        <w:t xml:space="preserve"> piedalīša</w:t>
      </w:r>
      <w:r w:rsidR="00826A4E">
        <w:rPr>
          <w:rFonts w:cs="Times New Roman"/>
        </w:rPr>
        <w:t>nās mantiskos darījumos</w:t>
      </w:r>
      <w:r w:rsidR="00826A4E" w:rsidRPr="00826A4E">
        <w:rPr>
          <w:rFonts w:cs="Times New Roman"/>
        </w:rPr>
        <w:t xml:space="preserve">, </w:t>
      </w:r>
      <w:r w:rsidR="00D15952">
        <w:rPr>
          <w:rFonts w:cs="Times New Roman"/>
        </w:rPr>
        <w:t>ja būtu</w:t>
      </w:r>
      <w:r w:rsidR="00826A4E" w:rsidRPr="00826A4E">
        <w:rPr>
          <w:rFonts w:cs="Times New Roman"/>
        </w:rPr>
        <w:t xml:space="preserve"> konstatē</w:t>
      </w:r>
      <w:r w:rsidR="00826A4E">
        <w:rPr>
          <w:rFonts w:cs="Times New Roman"/>
        </w:rPr>
        <w:t>ts, ka A.Šlesers pieņēmis</w:t>
      </w:r>
      <w:r w:rsidR="00826A4E" w:rsidRPr="00826A4E">
        <w:rPr>
          <w:rFonts w:cs="Times New Roman"/>
        </w:rPr>
        <w:t xml:space="preserve"> lēmumus par labu uzņēmumam, kurā viņam saimnieciski (faktiski vai slēp</w:t>
      </w:r>
      <w:r w:rsidR="00826A4E">
        <w:rPr>
          <w:rFonts w:cs="Times New Roman"/>
        </w:rPr>
        <w:t>ti) piederēja kapitāla daļas</w:t>
      </w:r>
      <w:r w:rsidR="00826A4E" w:rsidRPr="00826A4E">
        <w:rPr>
          <w:rFonts w:cs="Times New Roman"/>
        </w:rPr>
        <w:t xml:space="preserve"> </w:t>
      </w:r>
      <w:r w:rsidRPr="00826A4E">
        <w:rPr>
          <w:rFonts w:cs="Times New Roman"/>
        </w:rPr>
        <w:t>(</w:t>
      </w:r>
      <w:r w:rsidR="008346F2" w:rsidRPr="00826A4E">
        <w:rPr>
          <w:rFonts w:cs="Times New Roman"/>
        </w:rPr>
        <w:t xml:space="preserve">Krimināllikuma </w:t>
      </w:r>
      <w:r w:rsidR="009F2281" w:rsidRPr="00826A4E">
        <w:rPr>
          <w:rFonts w:cs="Times New Roman"/>
        </w:rPr>
        <w:t xml:space="preserve">325. un </w:t>
      </w:r>
      <w:r w:rsidR="00EE2D55" w:rsidRPr="00826A4E">
        <w:rPr>
          <w:rFonts w:cs="Times New Roman"/>
        </w:rPr>
        <w:t>32</w:t>
      </w:r>
      <w:r w:rsidRPr="00826A4E">
        <w:rPr>
          <w:rFonts w:cs="Times New Roman"/>
        </w:rPr>
        <w:t>6.p.);</w:t>
      </w:r>
      <w:r w:rsidR="008346F2" w:rsidRPr="00826A4E">
        <w:rPr>
          <w:rFonts w:cs="Times New Roman"/>
        </w:rPr>
        <w:t xml:space="preserve"> </w:t>
      </w:r>
    </w:p>
    <w:p w:rsidR="008346F2" w:rsidRPr="00826A4E" w:rsidRDefault="00826A4E" w:rsidP="00826A4E">
      <w:pPr>
        <w:pStyle w:val="ListParagraph"/>
        <w:numPr>
          <w:ilvl w:val="0"/>
          <w:numId w:val="8"/>
        </w:numPr>
        <w:spacing w:after="0" w:line="240" w:lineRule="auto"/>
        <w:jc w:val="both"/>
        <w:rPr>
          <w:rFonts w:cs="Times New Roman"/>
        </w:rPr>
      </w:pPr>
      <w:r>
        <w:rPr>
          <w:rFonts w:cs="Times New Roman"/>
        </w:rPr>
        <w:t xml:space="preserve">dienesta stāvokļa ļaunprātīga izmantošana, </w:t>
      </w:r>
      <w:r w:rsidR="008346F2" w:rsidRPr="00826A4E">
        <w:rPr>
          <w:rFonts w:cs="Times New Roman"/>
        </w:rPr>
        <w:t xml:space="preserve">ja </w:t>
      </w:r>
      <w:r w:rsidR="00D15952">
        <w:rPr>
          <w:rFonts w:cs="Times New Roman"/>
        </w:rPr>
        <w:t>būtu konstatēts, ka A.Šlesers</w:t>
      </w:r>
      <w:r w:rsidR="008346F2" w:rsidRPr="00826A4E">
        <w:rPr>
          <w:rFonts w:cs="Times New Roman"/>
        </w:rPr>
        <w:t xml:space="preserve"> pieņēmis lēmumus par labu uzņēmumam, kurā viņam saimnieciski (faktiski jeb slēpti) piederēja kapitāla daļas un šādi lēmumi radīj</w:t>
      </w:r>
      <w:r>
        <w:rPr>
          <w:rFonts w:cs="Times New Roman"/>
        </w:rPr>
        <w:t>uši būtisku kaitējumu</w:t>
      </w:r>
      <w:r w:rsidR="008346F2" w:rsidRPr="00826A4E">
        <w:rPr>
          <w:rFonts w:cs="Times New Roman"/>
        </w:rPr>
        <w:t xml:space="preserve"> (Krimināllikuma 318.p.). </w:t>
      </w:r>
    </w:p>
    <w:p w:rsidR="008346F2" w:rsidRDefault="004E35A8" w:rsidP="00826A4E">
      <w:pPr>
        <w:ind w:firstLine="720"/>
        <w:jc w:val="both"/>
        <w:rPr>
          <w:rFonts w:cs="Times New Roman"/>
        </w:rPr>
      </w:pPr>
      <w:r>
        <w:rPr>
          <w:rFonts w:cs="Times New Roman"/>
        </w:rPr>
        <w:t>T</w:t>
      </w:r>
      <w:r w:rsidR="00AF3984">
        <w:rPr>
          <w:rFonts w:cs="Times New Roman"/>
        </w:rPr>
        <w:t>urpretim</w:t>
      </w:r>
      <w:r>
        <w:rPr>
          <w:rFonts w:cs="Times New Roman"/>
        </w:rPr>
        <w:t xml:space="preserve"> nepierādot</w:t>
      </w:r>
      <w:r w:rsidR="008346F2">
        <w:rPr>
          <w:rFonts w:cs="Times New Roman"/>
        </w:rPr>
        <w:t>, ka A.Šleseram saimnieciski (faktiski jeb slēpti) piederēja kapitāl</w:t>
      </w:r>
      <w:r w:rsidR="00EE2D55">
        <w:rPr>
          <w:rFonts w:cs="Times New Roman"/>
        </w:rPr>
        <w:t>a daļas</w:t>
      </w:r>
      <w:r w:rsidR="008346F2">
        <w:rPr>
          <w:rFonts w:cs="Times New Roman"/>
        </w:rPr>
        <w:t xml:space="preserve">, nebija pamata </w:t>
      </w:r>
      <w:r w:rsidR="00D15952">
        <w:rPr>
          <w:rFonts w:cs="Times New Roman"/>
        </w:rPr>
        <w:t xml:space="preserve">uzskatīt, ka </w:t>
      </w:r>
      <w:r w:rsidR="00AF3984">
        <w:rPr>
          <w:rFonts w:cs="Times New Roman"/>
        </w:rPr>
        <w:t>viņš</w:t>
      </w:r>
      <w:r w:rsidR="00D15952">
        <w:rPr>
          <w:rFonts w:cs="Times New Roman"/>
        </w:rPr>
        <w:t xml:space="preserve"> izdarījis kādu no iepriekš minētajiem noziedzīgajiem nodarījumiem. Tātad jautājumam, vai tiktu pierādīts</w:t>
      </w:r>
      <w:r w:rsidR="008346F2">
        <w:rPr>
          <w:rFonts w:cs="Times New Roman"/>
        </w:rPr>
        <w:t>, ka A.Šleseram saimnieciski (faktiski jeb slēpti) piederēja kapitāla daļas SIA “Rīgas Tirdznie</w:t>
      </w:r>
      <w:r>
        <w:rPr>
          <w:rFonts w:cs="Times New Roman"/>
        </w:rPr>
        <w:t>cības ostā”</w:t>
      </w:r>
      <w:r w:rsidR="00AF3984">
        <w:rPr>
          <w:rFonts w:cs="Times New Roman"/>
        </w:rPr>
        <w:t xml:space="preserve"> (vai kādā citā uzņēmumā)</w:t>
      </w:r>
      <w:r>
        <w:rPr>
          <w:rFonts w:cs="Times New Roman"/>
        </w:rPr>
        <w:t>, bija izšķiroša</w:t>
      </w:r>
      <w:r w:rsidR="008346F2">
        <w:rPr>
          <w:rFonts w:cs="Times New Roman"/>
        </w:rPr>
        <w:t xml:space="preserve"> kriminālprocesā.</w:t>
      </w:r>
    </w:p>
    <w:p w:rsidR="007E6E9D" w:rsidRPr="00C21F24" w:rsidRDefault="008346F2" w:rsidP="007E6E9D">
      <w:pPr>
        <w:ind w:right="30" w:firstLine="720"/>
        <w:jc w:val="both"/>
      </w:pPr>
      <w:r>
        <w:rPr>
          <w:rFonts w:cs="Times New Roman"/>
        </w:rPr>
        <w:t>L</w:t>
      </w:r>
      <w:r w:rsidR="00AF3984">
        <w:rPr>
          <w:color w:val="000000"/>
        </w:rPr>
        <w:t xml:space="preserve">ai  kriminālprocesā atzītu par pierādītu, ka persona ir </w:t>
      </w:r>
      <w:r>
        <w:rPr>
          <w:color w:val="000000"/>
        </w:rPr>
        <w:t xml:space="preserve">saimnieciskais </w:t>
      </w:r>
      <w:r w:rsidR="00AF3984">
        <w:rPr>
          <w:color w:val="000000"/>
        </w:rPr>
        <w:t xml:space="preserve">(faktiskais </w:t>
      </w:r>
      <w:r>
        <w:rPr>
          <w:color w:val="000000"/>
        </w:rPr>
        <w:t xml:space="preserve">jeb slēptais) kapitāla daļu īpašnieks, jākonstatē pietiekošs apstākļu kopums, kas liecina, ka viņa, nebūdama juridiskais īpašnieks, izmanto juridiskā īpašnieka tiesības un/vai pilda tā pienākumus, savukārt šīs tiesības neizmanto un/vai pienākumus nepilda juridiskais īpašnieks. Tādā veidā kapitāla daļu juridiskais īpašnieks “tiek nobīdīts pie malas” un pats neizmanto šo tiesību un pienākumu kopumu. </w:t>
      </w:r>
      <w:r w:rsidR="007E6E9D">
        <w:t xml:space="preserve">Iepriekš minētais nozīmē </w:t>
      </w:r>
      <w:r w:rsidR="0084613C">
        <w:t xml:space="preserve">arī </w:t>
      </w:r>
      <w:r w:rsidR="009E1056">
        <w:t>to, ka</w:t>
      </w:r>
      <w:r w:rsidR="007E6E9D">
        <w:t xml:space="preserve"> jākonstatē, </w:t>
      </w:r>
      <w:r w:rsidR="007E6E9D">
        <w:rPr>
          <w:rFonts w:cs="Times New Roman"/>
        </w:rPr>
        <w:t>kura juridiskā īpašnieka vietā stājies saimnieciskais (faktiskais jeb slēptais) īpašnieks.</w:t>
      </w:r>
    </w:p>
    <w:p w:rsidR="008346F2" w:rsidRDefault="008346F2" w:rsidP="00826A4E">
      <w:pPr>
        <w:pStyle w:val="BodyText"/>
        <w:spacing w:after="0"/>
        <w:ind w:right="28"/>
        <w:jc w:val="both"/>
        <w:rPr>
          <w:color w:val="000000"/>
        </w:rPr>
      </w:pPr>
      <w:r>
        <w:rPr>
          <w:color w:val="000000"/>
        </w:rPr>
        <w:tab/>
        <w:t>To, kādas tiesības un pienākumi ir kapitāla daļu juridiskajam īpašniekam, nos</w:t>
      </w:r>
      <w:r w:rsidR="0084613C">
        <w:rPr>
          <w:color w:val="000000"/>
        </w:rPr>
        <w:t>aka Komerclikums</w:t>
      </w:r>
      <w:r>
        <w:rPr>
          <w:color w:val="000000"/>
        </w:rPr>
        <w:t xml:space="preserve">. </w:t>
      </w:r>
    </w:p>
    <w:p w:rsidR="008346F2" w:rsidRDefault="0084613C" w:rsidP="00826A4E">
      <w:pPr>
        <w:ind w:right="30" w:firstLine="720"/>
        <w:jc w:val="both"/>
      </w:pPr>
      <w:r>
        <w:t>Saskaņā ar Komerclikumu</w:t>
      </w:r>
      <w:r w:rsidR="008346F2">
        <w:t xml:space="preserve"> kapitāla daļas īpašnieku raksturo vairākas pazīmes, tajā skaitā:</w:t>
      </w:r>
    </w:p>
    <w:p w:rsidR="008346F2" w:rsidRDefault="008346F2" w:rsidP="00826A4E">
      <w:pPr>
        <w:widowControl/>
        <w:numPr>
          <w:ilvl w:val="0"/>
          <w:numId w:val="2"/>
        </w:numPr>
        <w:jc w:val="both"/>
      </w:pPr>
      <w:r>
        <w:t>pamatkapitāla apmaksa, nodi</w:t>
      </w:r>
      <w:r w:rsidR="0084613C">
        <w:t>binot kapitālsabiedrību (Komerclikuma 147.p.) vai</w:t>
      </w:r>
      <w:r>
        <w:t xml:space="preserve"> kapitāla daļas iegāde no iepriekšējā īpašnieka, ja kapitāla daļas īpašnieks nav bijis dibinātājs;</w:t>
      </w:r>
    </w:p>
    <w:p w:rsidR="008346F2" w:rsidRDefault="008346F2" w:rsidP="00826A4E">
      <w:pPr>
        <w:widowControl/>
        <w:numPr>
          <w:ilvl w:val="0"/>
          <w:numId w:val="2"/>
        </w:numPr>
        <w:jc w:val="both"/>
      </w:pPr>
      <w:r>
        <w:t>daļa dod tiesības dalībniekam piedalīties sabiedrības pārvaldē, peļņas sadalē u.c. likumā un statūtos paredzētās tiesība</w:t>
      </w:r>
      <w:r w:rsidR="0084613C">
        <w:t>s (Komerclikuma</w:t>
      </w:r>
      <w:r>
        <w:t xml:space="preserve"> 186.p.3.d.).</w:t>
      </w:r>
    </w:p>
    <w:p w:rsidR="008346F2" w:rsidRDefault="00500835" w:rsidP="00500835">
      <w:pPr>
        <w:ind w:right="30" w:firstLine="720"/>
        <w:jc w:val="both"/>
      </w:pPr>
      <w:r>
        <w:t>Lai gan tas</w:t>
      </w:r>
      <w:r w:rsidR="008346F2">
        <w:t xml:space="preserve"> nenozīmē, ka obligāti jākonstatē, ka A.Šle</w:t>
      </w:r>
      <w:r>
        <w:t xml:space="preserve">sers </w:t>
      </w:r>
      <w:r w:rsidR="007E6E9D">
        <w:t xml:space="preserve">bija </w:t>
      </w:r>
      <w:r>
        <w:t>izmantojis visas</w:t>
      </w:r>
      <w:r w:rsidR="008346F2">
        <w:t xml:space="preserve"> kapi</w:t>
      </w:r>
      <w:r>
        <w:t>tāla daļu īpašnieka tiesības un</w:t>
      </w:r>
      <w:r w:rsidR="008346F2">
        <w:t xml:space="preserve"> pildījis visus iespējamos pienākumus, tomēr šo izmantoto tiesību un pildīto pienākumu kopumam jābūt pieti</w:t>
      </w:r>
      <w:r w:rsidR="00512AD4">
        <w:t>ekoši nozīmīgam</w:t>
      </w:r>
      <w:r w:rsidR="008346F2">
        <w:t>, lai neradītu saprātīgas šaubas par viņa statusu SIA “Rīgas Tirdzniecīb</w:t>
      </w:r>
      <w:r w:rsidR="007E6E9D">
        <w:t>as osta”. Piemēram, būtu</w:t>
      </w:r>
      <w:r w:rsidR="008346F2">
        <w:t xml:space="preserve"> pietiekoši konstatēt, ka A.Šlesers saņēmis dividendes </w:t>
      </w:r>
      <w:r w:rsidR="00512AD4">
        <w:t xml:space="preserve">no šī uzņēmuma </w:t>
      </w:r>
      <w:r w:rsidR="004E35A8">
        <w:t>vai veicis kapitāla daļu</w:t>
      </w:r>
      <w:r w:rsidR="008346F2">
        <w:t xml:space="preserve"> apmaksu, jo šādas tiesības ir tikai </w:t>
      </w:r>
      <w:r w:rsidR="00512AD4">
        <w:t xml:space="preserve">kapitāla daļu </w:t>
      </w:r>
      <w:r w:rsidR="008346F2">
        <w:t>īpašniekam. Turpretim ne tik viennozīmīgi vērtējama interesēšanās par</w:t>
      </w:r>
      <w:r w:rsidR="004E35A8">
        <w:t xml:space="preserve"> uzņēmuma darbību, padomu došana</w:t>
      </w:r>
      <w:r w:rsidR="007E6E9D">
        <w:t>, darbinieku ieteikšana</w:t>
      </w:r>
      <w:r w:rsidR="008346F2">
        <w:t xml:space="preserve"> u.tml., jo šādas darbības var veikt jebkura persona, neatkarīgi no tā, kād</w:t>
      </w:r>
      <w:r>
        <w:t xml:space="preserve">a ir viņas saistība ar uzņēmumu. </w:t>
      </w:r>
      <w:r w:rsidR="004E35A8">
        <w:t>Tātad</w:t>
      </w:r>
      <w:r w:rsidR="008346F2">
        <w:t xml:space="preserve"> tikai atkarībā no tiesību izmantošanas un pienākumu pildīšanas apjoma, rakstura un ilguma konkrētā situācijā vērtējams, vai persona bija saimnieciskais (faktiskais jeb slēptais) kapitāla daļu īpašnieks.</w:t>
      </w:r>
    </w:p>
    <w:p w:rsidR="004E35A8" w:rsidRDefault="008346F2" w:rsidP="00826A4E">
      <w:pPr>
        <w:ind w:firstLine="720"/>
        <w:jc w:val="both"/>
        <w:rPr>
          <w:rFonts w:cs="Times New Roman"/>
        </w:rPr>
      </w:pPr>
      <w:r>
        <w:rPr>
          <w:rFonts w:cs="Times New Roman"/>
        </w:rPr>
        <w:t xml:space="preserve">Turklāt izmeklēšanā </w:t>
      </w:r>
      <w:r w:rsidR="00D83B49">
        <w:rPr>
          <w:rFonts w:cs="Times New Roman"/>
        </w:rPr>
        <w:t>bija papildus</w:t>
      </w:r>
      <w:r>
        <w:rPr>
          <w:rFonts w:cs="Times New Roman"/>
        </w:rPr>
        <w:t xml:space="preserve"> jāidentificē laika periods, kurā A.Šleseram saimnieciski (faktiski jeb sl</w:t>
      </w:r>
      <w:r w:rsidR="00500835">
        <w:rPr>
          <w:rFonts w:cs="Times New Roman"/>
        </w:rPr>
        <w:t>ēpti) piederēja kapitāla daļas.</w:t>
      </w:r>
    </w:p>
    <w:p w:rsidR="008346F2" w:rsidRDefault="008346F2" w:rsidP="00D4049E">
      <w:pPr>
        <w:ind w:firstLine="720"/>
        <w:jc w:val="both"/>
        <w:rPr>
          <w:rFonts w:cs="Times New Roman"/>
        </w:rPr>
      </w:pPr>
      <w:r>
        <w:rPr>
          <w:rFonts w:cs="Times New Roman"/>
        </w:rPr>
        <w:t xml:space="preserve"> </w:t>
      </w:r>
      <w:r w:rsidR="00B00513">
        <w:rPr>
          <w:rFonts w:cs="Times New Roman"/>
        </w:rPr>
        <w:t>Operatīvās darbības pasākumos iegūtās n</w:t>
      </w:r>
      <w:r w:rsidR="00D76DC3">
        <w:rPr>
          <w:rFonts w:cs="Times New Roman"/>
        </w:rPr>
        <w:t xml:space="preserve">epubliskās sarunas, kas </w:t>
      </w:r>
      <w:r>
        <w:rPr>
          <w:rFonts w:cs="Times New Roman"/>
        </w:rPr>
        <w:t>pievienotas kriminālprocesam</w:t>
      </w:r>
      <w:r w:rsidR="006429F6">
        <w:rPr>
          <w:rFonts w:cs="Times New Roman"/>
        </w:rPr>
        <w:t>, radīja vienīgi aizdomas</w:t>
      </w:r>
      <w:r>
        <w:rPr>
          <w:rFonts w:cs="Times New Roman"/>
        </w:rPr>
        <w:t xml:space="preserve">, ka A.Šlesers varētu būt </w:t>
      </w:r>
      <w:r w:rsidR="00D60E47">
        <w:rPr>
          <w:rFonts w:cs="Times New Roman"/>
        </w:rPr>
        <w:t xml:space="preserve">saimnieciskais (faktiskais jeb </w:t>
      </w:r>
      <w:r>
        <w:rPr>
          <w:rFonts w:cs="Times New Roman"/>
        </w:rPr>
        <w:t>s</w:t>
      </w:r>
      <w:r w:rsidR="006429F6">
        <w:rPr>
          <w:rFonts w:cs="Times New Roman"/>
        </w:rPr>
        <w:t>lēptais</w:t>
      </w:r>
      <w:r w:rsidR="00D60E47">
        <w:rPr>
          <w:rFonts w:cs="Times New Roman"/>
        </w:rPr>
        <w:t>)</w:t>
      </w:r>
      <w:r w:rsidR="006429F6">
        <w:rPr>
          <w:rFonts w:cs="Times New Roman"/>
        </w:rPr>
        <w:t xml:space="preserve"> kapitāla daļu īpašnieks </w:t>
      </w:r>
      <w:r w:rsidR="00CE5129">
        <w:rPr>
          <w:rFonts w:cs="Times New Roman"/>
        </w:rPr>
        <w:t>(un līdz ar to izdarījis iepriekš minētos noziedzīgos nodarījumos, izmantojot savu amata stāvokli).</w:t>
      </w:r>
      <w:r w:rsidR="000E0239">
        <w:rPr>
          <w:rFonts w:cs="Times New Roman"/>
        </w:rPr>
        <w:t xml:space="preserve"> Tātad</w:t>
      </w:r>
      <w:r>
        <w:rPr>
          <w:rFonts w:cs="Times New Roman"/>
        </w:rPr>
        <w:t xml:space="preserve"> bija pamats gan operatīvo darbības pasākumu veikšanai, gan kriminālprocesa uzsākšanai. Taču </w:t>
      </w:r>
      <w:r w:rsidR="00CE5129">
        <w:rPr>
          <w:rFonts w:cs="Times New Roman"/>
        </w:rPr>
        <w:t>sarunas</w:t>
      </w:r>
      <w:r w:rsidR="00D83B49">
        <w:rPr>
          <w:rFonts w:cs="Times New Roman"/>
        </w:rPr>
        <w:t xml:space="preserve"> nebija pietiekošas, lai celtu apsūdzību, bet </w:t>
      </w:r>
      <w:r w:rsidR="006429F6">
        <w:rPr>
          <w:rFonts w:cs="Times New Roman"/>
        </w:rPr>
        <w:t>vēl jo mazāk –</w:t>
      </w:r>
      <w:r w:rsidR="00D83B49">
        <w:rPr>
          <w:rFonts w:cs="Times New Roman"/>
        </w:rPr>
        <w:t xml:space="preserve"> lai kriminālprocesu nodotu tiesai.</w:t>
      </w:r>
      <w:r w:rsidR="00D4049E">
        <w:rPr>
          <w:rFonts w:cs="Times New Roman"/>
        </w:rPr>
        <w:t xml:space="preserve"> S</w:t>
      </w:r>
      <w:r w:rsidR="00D83B49">
        <w:rPr>
          <w:rFonts w:cs="Times New Roman"/>
        </w:rPr>
        <w:t xml:space="preserve">askaņā ar </w:t>
      </w:r>
      <w:r w:rsidR="00D83B49">
        <w:rPr>
          <w:rFonts w:cs="Times New Roman"/>
        </w:rPr>
        <w:lastRenderedPageBreak/>
        <w:t>Kriminālprocesa likuma 59.panta otrās daļas 5.punktu, p</w:t>
      </w:r>
      <w:r>
        <w:rPr>
          <w:rFonts w:cs="Times New Roman"/>
        </w:rPr>
        <w:t xml:space="preserve">ieņemot lēmumu par krimināllietas nodošanu tiesai, prokuroram jābūt pārliecinātam, ka ar </w:t>
      </w:r>
      <w:r w:rsidRPr="00EA1B98">
        <w:rPr>
          <w:rFonts w:cs="Times New Roman"/>
        </w:rPr>
        <w:t xml:space="preserve">esošajiem pierādījumiem </w:t>
      </w:r>
      <w:r>
        <w:rPr>
          <w:rFonts w:cs="Times New Roman"/>
        </w:rPr>
        <w:t xml:space="preserve">viņš </w:t>
      </w:r>
      <w:r w:rsidRPr="00EA1B98">
        <w:rPr>
          <w:rFonts w:cs="Times New Roman"/>
        </w:rPr>
        <w:t>spēs pārliecināt tiesu, ka n</w:t>
      </w:r>
      <w:r w:rsidR="000E0239">
        <w:rPr>
          <w:rFonts w:cs="Times New Roman"/>
        </w:rPr>
        <w:t>epastāv saprātīgas šaubas</w:t>
      </w:r>
      <w:r w:rsidRPr="00EA1B98">
        <w:rPr>
          <w:rFonts w:cs="Times New Roman"/>
        </w:rPr>
        <w:t>, ka tieši šī persona izdarījusi</w:t>
      </w:r>
      <w:r w:rsidR="006429F6">
        <w:rPr>
          <w:rFonts w:cs="Times New Roman"/>
        </w:rPr>
        <w:t xml:space="preserve"> konkrētu noziedzīgu nodarījumu.</w:t>
      </w:r>
      <w:r w:rsidR="00D4049E">
        <w:rPr>
          <w:rFonts w:cs="Times New Roman"/>
        </w:rPr>
        <w:t xml:space="preserve"> Šāda pārliecība nebija ie</w:t>
      </w:r>
      <w:r w:rsidR="00FD2585">
        <w:rPr>
          <w:rFonts w:cs="Times New Roman"/>
        </w:rPr>
        <w:t>gūstama no krimināllietā iegūtajiem pierādījumiem</w:t>
      </w:r>
      <w:r w:rsidR="00D4049E">
        <w:rPr>
          <w:rFonts w:cs="Times New Roman"/>
        </w:rPr>
        <w:t>.</w:t>
      </w:r>
    </w:p>
    <w:p w:rsidR="00CE5129" w:rsidRDefault="00CE5129" w:rsidP="00CE5129">
      <w:pPr>
        <w:ind w:firstLine="720"/>
        <w:jc w:val="both"/>
        <w:rPr>
          <w:rFonts w:cs="Times New Roman"/>
        </w:rPr>
      </w:pPr>
      <w:r>
        <w:rPr>
          <w:rFonts w:cs="Times New Roman"/>
        </w:rPr>
        <w:t>Ar nepubliskajām sarunām nevarēja atzīt par pierādītu, ka A.Šlesers bijis saimnieciskais (faktiskais jeb slēptais) īpašnieks kādā no uzņēmumiem,</w:t>
      </w:r>
      <w:r w:rsidR="00B00513">
        <w:rPr>
          <w:rFonts w:cs="Times New Roman"/>
        </w:rPr>
        <w:t xml:space="preserve"> jo nevienā no</w:t>
      </w:r>
      <w:r w:rsidR="00D76DC3">
        <w:rPr>
          <w:rFonts w:cs="Times New Roman"/>
        </w:rPr>
        <w:t xml:space="preserve"> </w:t>
      </w:r>
      <w:r w:rsidR="00D4049E">
        <w:rPr>
          <w:rFonts w:cs="Times New Roman"/>
        </w:rPr>
        <w:t>tām</w:t>
      </w:r>
      <w:r>
        <w:rPr>
          <w:rFonts w:cs="Times New Roman"/>
        </w:rPr>
        <w:t xml:space="preserve"> nebija ziņu, ka A.Šlesers</w:t>
      </w:r>
      <w:r w:rsidR="008346F2">
        <w:rPr>
          <w:rFonts w:cs="Times New Roman"/>
        </w:rPr>
        <w:t xml:space="preserve"> apmaksājis kapitāla daļu iegādi, saņēmis dividendes vai sistemātiski diktējis un noteicis valdē vai padomē pieņemamo lēmumu saturu vai c</w:t>
      </w:r>
      <w:r>
        <w:rPr>
          <w:rFonts w:cs="Times New Roman"/>
        </w:rPr>
        <w:t>itādi ietekmējis uzņēmuma darbu</w:t>
      </w:r>
      <w:r w:rsidR="00D4049E">
        <w:rPr>
          <w:rFonts w:cs="Times New Roman"/>
        </w:rPr>
        <w:t>,</w:t>
      </w:r>
      <w:r>
        <w:rPr>
          <w:rFonts w:cs="Times New Roman"/>
        </w:rPr>
        <w:t xml:space="preserve"> vai veicis citas darbības, kas pieder tikai un vienīgi kapitāla daļu juridiskajam īpašniekam.</w:t>
      </w:r>
      <w:r w:rsidR="00485005" w:rsidRPr="00485005">
        <w:rPr>
          <w:rFonts w:cs="Times New Roman"/>
        </w:rPr>
        <w:t xml:space="preserve"> </w:t>
      </w:r>
      <w:r w:rsidR="00485005">
        <w:rPr>
          <w:rFonts w:cs="Times New Roman"/>
        </w:rPr>
        <w:t>Līdz ar to, lai varētu celt apsūdzību un pieņemt lēmumu par krimināllietas nodošanu tiesai, bez nepubliskajām sarunām bija nepieciešami papildus pierādījumi.</w:t>
      </w:r>
      <w:r w:rsidR="00485005" w:rsidRPr="00485005">
        <w:rPr>
          <w:rFonts w:cs="Times New Roman"/>
        </w:rPr>
        <w:t xml:space="preserve"> </w:t>
      </w:r>
    </w:p>
    <w:p w:rsidR="0080000B" w:rsidRDefault="00485E96" w:rsidP="00485005">
      <w:pPr>
        <w:ind w:firstLine="720"/>
        <w:jc w:val="both"/>
      </w:pPr>
      <w:r>
        <w:rPr>
          <w:rFonts w:cs="Times New Roman"/>
        </w:rPr>
        <w:t>Tomēr</w:t>
      </w:r>
      <w:r w:rsidR="00C4143C">
        <w:rPr>
          <w:rFonts w:cs="Times New Roman"/>
        </w:rPr>
        <w:t xml:space="preserve"> kriminālprocesa turpmākā izmeklēšanas gaitā</w:t>
      </w:r>
      <w:r w:rsidR="00067185">
        <w:rPr>
          <w:rFonts w:cs="Times New Roman"/>
        </w:rPr>
        <w:t xml:space="preserve"> </w:t>
      </w:r>
      <w:r w:rsidR="008346F2">
        <w:rPr>
          <w:rFonts w:cs="Times New Roman"/>
        </w:rPr>
        <w:t xml:space="preserve">papildus iegūtie </w:t>
      </w:r>
      <w:r>
        <w:rPr>
          <w:rFonts w:cs="Times New Roman"/>
        </w:rPr>
        <w:t xml:space="preserve">pierādījumi </w:t>
      </w:r>
      <w:r w:rsidR="006D6BA5">
        <w:rPr>
          <w:rFonts w:cs="Times New Roman"/>
        </w:rPr>
        <w:t xml:space="preserve">nebija pietiekoši, lai </w:t>
      </w:r>
      <w:r w:rsidR="00485005">
        <w:rPr>
          <w:rFonts w:cs="Times New Roman"/>
        </w:rPr>
        <w:t>apstiprinātu</w:t>
      </w:r>
      <w:r w:rsidR="00D4049E">
        <w:rPr>
          <w:rFonts w:cs="Times New Roman"/>
        </w:rPr>
        <w:t xml:space="preserve"> sākotnējās aizdomas. </w:t>
      </w:r>
      <w:r w:rsidR="00D76DC3">
        <w:rPr>
          <w:rFonts w:cs="Times New Roman"/>
        </w:rPr>
        <w:t>To li</w:t>
      </w:r>
      <w:r w:rsidR="00B00513">
        <w:rPr>
          <w:rFonts w:cs="Times New Roman"/>
        </w:rPr>
        <w:t>elā mērā ietekmēja tas</w:t>
      </w:r>
      <w:r w:rsidR="00D76DC3">
        <w:rPr>
          <w:rFonts w:cs="Times New Roman"/>
        </w:rPr>
        <w:t>, ka nepietieko</w:t>
      </w:r>
      <w:r w:rsidR="006B3A00">
        <w:rPr>
          <w:rFonts w:cs="Times New Roman"/>
        </w:rPr>
        <w:t>ši</w:t>
      </w:r>
      <w:r w:rsidR="00D76DC3">
        <w:rPr>
          <w:rFonts w:cs="Times New Roman"/>
        </w:rPr>
        <w:t xml:space="preserve"> bija </w:t>
      </w:r>
      <w:r w:rsidR="00B00513">
        <w:rPr>
          <w:rFonts w:cs="Times New Roman"/>
        </w:rPr>
        <w:t>nepub</w:t>
      </w:r>
      <w:r w:rsidR="006B3A00">
        <w:rPr>
          <w:rFonts w:cs="Times New Roman"/>
        </w:rPr>
        <w:t xml:space="preserve">liskajās sarunās fiksētie fakti par to, ka A.Šlesers izmantojis juridiskā kapitāla daļu īpašnieka tiesības un </w:t>
      </w:r>
      <w:r w:rsidR="0080000B">
        <w:rPr>
          <w:rFonts w:cs="Times New Roman"/>
        </w:rPr>
        <w:t>pil</w:t>
      </w:r>
      <w:r w:rsidR="00485005">
        <w:rPr>
          <w:rFonts w:cs="Times New Roman"/>
        </w:rPr>
        <w:t>dījis tā pienākumu</w:t>
      </w:r>
      <w:r>
        <w:rPr>
          <w:rFonts w:cs="Times New Roman"/>
        </w:rPr>
        <w:t>s. Turklāt tie</w:t>
      </w:r>
      <w:r w:rsidR="0080000B">
        <w:rPr>
          <w:rFonts w:cs="Times New Roman"/>
        </w:rPr>
        <w:t xml:space="preserve"> bija pretrun</w:t>
      </w:r>
      <w:r w:rsidR="00B03D4D">
        <w:rPr>
          <w:rFonts w:cs="Times New Roman"/>
        </w:rPr>
        <w:t>īgi, jo saturēja</w:t>
      </w:r>
      <w:r w:rsidR="00485005">
        <w:rPr>
          <w:rFonts w:cs="Times New Roman"/>
        </w:rPr>
        <w:t xml:space="preserve"> arī tādas</w:t>
      </w:r>
      <w:r w:rsidR="00B03D4D">
        <w:rPr>
          <w:rFonts w:cs="Times New Roman"/>
        </w:rPr>
        <w:t xml:space="preserve"> </w:t>
      </w:r>
      <w:r w:rsidR="0080000B">
        <w:rPr>
          <w:rFonts w:cs="Times New Roman"/>
        </w:rPr>
        <w:t xml:space="preserve">ziņas, </w:t>
      </w:r>
      <w:r w:rsidR="00067185">
        <w:rPr>
          <w:rFonts w:cs="Times New Roman"/>
        </w:rPr>
        <w:t>kas radīja šaubas</w:t>
      </w:r>
      <w:r w:rsidR="007D5833">
        <w:rPr>
          <w:rFonts w:cs="Times New Roman"/>
        </w:rPr>
        <w:t xml:space="preserve">, vai A.Šlesers patiešām bija saimnieciskais (faktiskais jeb slēptais) kapitāla daļu īpašnieks. </w:t>
      </w:r>
      <w:r w:rsidR="00485005">
        <w:rPr>
          <w:rFonts w:cs="Times New Roman"/>
        </w:rPr>
        <w:t xml:space="preserve"> P</w:t>
      </w:r>
      <w:r w:rsidR="003061D5">
        <w:rPr>
          <w:rFonts w:cs="Times New Roman"/>
        </w:rPr>
        <w:t>iemēram,</w:t>
      </w:r>
      <w:r w:rsidR="003061D5">
        <w:t xml:space="preserve"> </w:t>
      </w:r>
      <w:r w:rsidR="00485005">
        <w:t>no sarunām izriet</w:t>
      </w:r>
      <w:r w:rsidR="007D5833">
        <w:t>ēja</w:t>
      </w:r>
      <w:r w:rsidR="00485005">
        <w:t xml:space="preserve">, ka </w:t>
      </w:r>
      <w:r w:rsidR="003061D5">
        <w:t>A.Šlesers nav zinājis, ka iecelts jauns valdes loceklis un kādi ir viņa pienākumi</w:t>
      </w:r>
      <w:r w:rsidR="00B03D4D">
        <w:t>,</w:t>
      </w:r>
      <w:r w:rsidR="003061D5">
        <w:t xml:space="preserve"> </w:t>
      </w:r>
      <w:r>
        <w:t xml:space="preserve">viņš </w:t>
      </w:r>
      <w:r w:rsidR="00067185">
        <w:t xml:space="preserve">nav zinājis </w:t>
      </w:r>
      <w:r w:rsidR="00485005">
        <w:t>uzņēmuma pad</w:t>
      </w:r>
      <w:r>
        <w:t>omes pilnu sastāvu. Tāpat A.Šlesers</w:t>
      </w:r>
      <w:r w:rsidR="00485005">
        <w:t xml:space="preserve"> </w:t>
      </w:r>
      <w:r>
        <w:t>iztaujājis citas perso</w:t>
      </w:r>
      <w:r w:rsidR="007D5833">
        <w:t>nas par to, kas</w:t>
      </w:r>
      <w:r>
        <w:t xml:space="preserve"> bijuši iepriekšējie SIA “Rīgas Tirdzniecības ostas” īpašnieki. Šādai i</w:t>
      </w:r>
      <w:r w:rsidR="00067185">
        <w:t>nformācijai normālā situācijā</w:t>
      </w:r>
      <w:r>
        <w:t xml:space="preserve"> </w:t>
      </w:r>
      <w:r w:rsidR="007A49C5">
        <w:t xml:space="preserve">ir </w:t>
      </w:r>
      <w:r>
        <w:t xml:space="preserve">jābūt uzņēmuma īpašnieka rīcībā. Līdz </w:t>
      </w:r>
      <w:r w:rsidR="00067185">
        <w:t>ar to šī</w:t>
      </w:r>
      <w:r>
        <w:t xml:space="preserve">s informācijas neesamība </w:t>
      </w:r>
      <w:r w:rsidR="007D5833">
        <w:t>bija viena no pazīmēm, kas radīja</w:t>
      </w:r>
      <w:r w:rsidR="007A49C5">
        <w:t xml:space="preserve"> šaubas par sākotnējo aizdomu</w:t>
      </w:r>
      <w:r w:rsidR="007D5833">
        <w:t xml:space="preserve"> pareizību.</w:t>
      </w:r>
    </w:p>
    <w:p w:rsidR="00067185" w:rsidRDefault="00067185" w:rsidP="00BD6E97">
      <w:pPr>
        <w:ind w:firstLine="720"/>
        <w:jc w:val="both"/>
      </w:pPr>
      <w:r>
        <w:t>Kriminālprocesā jāvērtē gan pierādījumi, kas apstiprina aizdomas, gan pierādījumi, kas rada šaubas par aizdomu pareizību. T</w:t>
      </w:r>
      <w:r w:rsidR="00F93915">
        <w:t>ikai pretnostatot</w:t>
      </w:r>
      <w:r w:rsidR="007A49C5">
        <w:t xml:space="preserve"> </w:t>
      </w:r>
      <w:r w:rsidR="00BD6E97">
        <w:t>pierādījumus, kas apstiprina aizdomas, ar tiem, kas rada šaubas par aizdomu pareizību, k</w:t>
      </w:r>
      <w:r>
        <w:t>riminālprocesā</w:t>
      </w:r>
      <w:r w:rsidR="00BD6E97">
        <w:t xml:space="preserve"> iespējams izlemt, vai atzīstams</w:t>
      </w:r>
      <w:r>
        <w:t xml:space="preserve"> par</w:t>
      </w:r>
      <w:r w:rsidR="007A49C5">
        <w:t xml:space="preserve"> pierādītu </w:t>
      </w:r>
      <w:r>
        <w:t>“ārpus saprātīgām šaubām”</w:t>
      </w:r>
      <w:r w:rsidR="007A49C5">
        <w:t xml:space="preserve"> konkrētais fakts.</w:t>
      </w:r>
    </w:p>
    <w:p w:rsidR="008346F2" w:rsidRDefault="007A49C5" w:rsidP="00826A4E">
      <w:pPr>
        <w:ind w:firstLine="720"/>
        <w:jc w:val="both"/>
        <w:rPr>
          <w:rFonts w:cs="Times New Roman"/>
        </w:rPr>
      </w:pPr>
      <w:r>
        <w:rPr>
          <w:rFonts w:cs="Times New Roman"/>
        </w:rPr>
        <w:t>Kā izmeklēšanu uzraugošais prokurors j</w:t>
      </w:r>
      <w:r w:rsidR="00D06F9E">
        <w:rPr>
          <w:rFonts w:cs="Times New Roman"/>
        </w:rPr>
        <w:t>au izmeklēšanas sākuma stadijā vērsu Korupcijas novēršanas</w:t>
      </w:r>
      <w:r w:rsidR="00F864E6">
        <w:rPr>
          <w:rFonts w:cs="Times New Roman"/>
        </w:rPr>
        <w:t xml:space="preserve"> un apkarošanas biroja priekšnieka</w:t>
      </w:r>
      <w:r w:rsidR="00D06F9E">
        <w:rPr>
          <w:rFonts w:cs="Times New Roman"/>
        </w:rPr>
        <w:t xml:space="preserve"> vietnieces J.Strīķes un izmeklētāju uzmanību uz to,</w:t>
      </w:r>
      <w:r w:rsidR="000D7FD1">
        <w:rPr>
          <w:rFonts w:cs="Times New Roman"/>
        </w:rPr>
        <w:t xml:space="preserve"> ka nepubl</w:t>
      </w:r>
      <w:r w:rsidR="00D06F9E">
        <w:rPr>
          <w:rFonts w:cs="Times New Roman"/>
        </w:rPr>
        <w:t xml:space="preserve">iskās sarunas var izrādīties nepietiekošs pierādījums un tās vērtējamas ar lielu piesardzību. </w:t>
      </w:r>
    </w:p>
    <w:p w:rsidR="00F864E6" w:rsidRDefault="008346F2" w:rsidP="00826A4E">
      <w:pPr>
        <w:ind w:right="-108" w:firstLine="720"/>
        <w:jc w:val="both"/>
      </w:pPr>
      <w:r>
        <w:rPr>
          <w:rFonts w:cs="Times New Roman"/>
        </w:rPr>
        <w:t xml:space="preserve">Par otro izmeklēšanas virzienu, proti, par </w:t>
      </w:r>
      <w:r w:rsidRPr="00EA1B98">
        <w:rPr>
          <w:rFonts w:cs="Times New Roman"/>
        </w:rPr>
        <w:t>A.Šlesera</w:t>
      </w:r>
      <w:r>
        <w:rPr>
          <w:rFonts w:cs="Times New Roman"/>
        </w:rPr>
        <w:t xml:space="preserve"> un citu personu</w:t>
      </w:r>
      <w:r w:rsidRPr="00EA1B98">
        <w:rPr>
          <w:rFonts w:cs="Times New Roman"/>
        </w:rPr>
        <w:t xml:space="preserve"> </w:t>
      </w:r>
      <w:r>
        <w:t>iespējamām</w:t>
      </w:r>
      <w:r w:rsidRPr="00CF7C6F">
        <w:t xml:space="preserve"> pretlik</w:t>
      </w:r>
      <w:r>
        <w:t>umīgām darbībām, lai par Rīgas b</w:t>
      </w:r>
      <w:r w:rsidRPr="00CF7C6F">
        <w:t>rīvostas valdes priekš</w:t>
      </w:r>
      <w:r>
        <w:t>sēdētāju ieceltu</w:t>
      </w:r>
      <w:r w:rsidRPr="00CF7C6F">
        <w:t xml:space="preserve"> </w:t>
      </w:r>
      <w:r w:rsidR="00185240">
        <w:t>Andri Ameriku</w:t>
      </w:r>
      <w:r w:rsidR="00245B01">
        <w:t>, norādāms</w:t>
      </w:r>
      <w:r>
        <w:t>, ka sākotnēji šīs darbības kvalificētas kā kukuļošana, proti, pēc Krimināllikuma 320.panta 4.daļas (kukuļņemšana) un 323.panta</w:t>
      </w:r>
      <w:r w:rsidR="00185240">
        <w:t xml:space="preserve"> 2.daļas (kukuļdošana).</w:t>
      </w:r>
    </w:p>
    <w:p w:rsidR="00F864E6" w:rsidRDefault="00EE018B" w:rsidP="00826A4E">
      <w:pPr>
        <w:ind w:right="-108" w:firstLine="720"/>
        <w:jc w:val="both"/>
      </w:pPr>
      <w:r>
        <w:t>I</w:t>
      </w:r>
      <w:r w:rsidR="00F864E6">
        <w:t>zmeklēšanas</w:t>
      </w:r>
      <w:r>
        <w:t xml:space="preserve"> sākuma stadijā</w:t>
      </w:r>
      <w:r w:rsidR="00F864E6">
        <w:t>, pildot izmeklēšanu uzraugošā prokurora pienākumus, sastādīju r</w:t>
      </w:r>
      <w:r w:rsidR="00245B01">
        <w:t>akstisku uzziņu, kurā, izvērtējot pierādījumus, secināju</w:t>
      </w:r>
      <w:r w:rsidR="00F864E6">
        <w:t xml:space="preserve">, ka </w:t>
      </w:r>
      <w:r w:rsidR="00245B01">
        <w:t>tie</w:t>
      </w:r>
      <w:r w:rsidR="00F864E6">
        <w:t xml:space="preserve"> nesatur pietiekošas ziņas nedz par kukuļņemšanu, nedz par kukuļdošanu.</w:t>
      </w:r>
      <w:r w:rsidR="00245B01">
        <w:t xml:space="preserve"> Ar šo izziņu iepazīstināta izmeklētāja</w:t>
      </w:r>
      <w:r w:rsidR="00F864E6">
        <w:t xml:space="preserve">. </w:t>
      </w:r>
    </w:p>
    <w:p w:rsidR="00245B01" w:rsidRDefault="00185240" w:rsidP="00245B01">
      <w:pPr>
        <w:ind w:right="-108" w:firstLine="720"/>
        <w:jc w:val="both"/>
      </w:pPr>
      <w:r>
        <w:t xml:space="preserve">Vēlāk </w:t>
      </w:r>
      <w:r w:rsidR="00245B01">
        <w:t xml:space="preserve">izmeklētāja </w:t>
      </w:r>
      <w:r>
        <w:t>šī</w:t>
      </w:r>
      <w:r w:rsidR="007C7E0F">
        <w:t>s darbības pārkvalificēja</w:t>
      </w:r>
      <w:r w:rsidR="008346F2">
        <w:t xml:space="preserve"> uz tirgošanos ar ietekmi (Krimināllikuma 326</w:t>
      </w:r>
      <w:r w:rsidR="008346F2" w:rsidRPr="00B71143">
        <w:rPr>
          <w:vertAlign w:val="superscript"/>
        </w:rPr>
        <w:t>1</w:t>
      </w:r>
      <w:r w:rsidR="008346F2">
        <w:t xml:space="preserve">.p.). </w:t>
      </w:r>
      <w:r w:rsidR="00245B01">
        <w:t>Tomēr arī šo juridisko kvalifikāciju atzinu par nepareizu.</w:t>
      </w:r>
    </w:p>
    <w:p w:rsidR="00245B01" w:rsidRDefault="00EE018B" w:rsidP="00EE018B">
      <w:pPr>
        <w:ind w:right="-108" w:firstLine="720"/>
        <w:jc w:val="both"/>
      </w:pPr>
      <w:r>
        <w:t>2015.gada 10.septembrī, konstatējot, ka šajā daļā lietas apstākļi noskaidroti pieti</w:t>
      </w:r>
      <w:r w:rsidR="007C7E0F">
        <w:t>ekoši vispusīgi</w:t>
      </w:r>
      <w:r>
        <w:t xml:space="preserve"> un nav konstatējama nedz kukuļdošana, nedz kukuļņemšana, nedz tirgošanās ar ietekmi, pēc krimināllietas saņemšan</w:t>
      </w:r>
      <w:r w:rsidR="00DE0113">
        <w:t>as kriminālvajāšanas uzsākšanai</w:t>
      </w:r>
      <w:r>
        <w:t xml:space="preserve"> pieņēmu </w:t>
      </w:r>
      <w:r w:rsidR="00245B01">
        <w:t>lēmumu</w:t>
      </w:r>
      <w:r w:rsidR="00DE0113">
        <w:t xml:space="preserve"> par kriminālprocesa izbeigšanu daļā.</w:t>
      </w:r>
    </w:p>
    <w:p w:rsidR="008346F2" w:rsidRDefault="00DE0113" w:rsidP="00DE0113">
      <w:pPr>
        <w:ind w:right="-108" w:firstLine="720"/>
        <w:jc w:val="both"/>
      </w:pPr>
      <w:r>
        <w:t xml:space="preserve">Par izmeklēšanas uzraudzību šajā daļā papildus atzīmējams, ka </w:t>
      </w:r>
      <w:r w:rsidR="00185240">
        <w:t xml:space="preserve">pierādījumus bez manis vērtējuši vēl trīs citi prokurori, atzīstot, ka nav pamata apsūdzības celšanai.  </w:t>
      </w:r>
    </w:p>
    <w:p w:rsidR="00DE0113" w:rsidRDefault="00DE0113" w:rsidP="00826A4E">
      <w:pPr>
        <w:ind w:firstLine="720"/>
        <w:jc w:val="both"/>
        <w:rPr>
          <w:rFonts w:cs="Times New Roman"/>
        </w:rPr>
      </w:pPr>
      <w:r>
        <w:rPr>
          <w:rFonts w:cs="Times New Roman"/>
        </w:rPr>
        <w:t>Turpinājumā plašāk par prokurora veiktajām darbībām un dotajiem norādījumiem, kas attiecas uz</w:t>
      </w:r>
      <w:r w:rsidR="00DA0F5D">
        <w:rPr>
          <w:rFonts w:cs="Times New Roman"/>
        </w:rPr>
        <w:t xml:space="preserve"> izmeklēšanu kopumā.</w:t>
      </w:r>
    </w:p>
    <w:p w:rsidR="008346F2" w:rsidRDefault="008346F2" w:rsidP="00826A4E">
      <w:pPr>
        <w:ind w:firstLine="720"/>
        <w:jc w:val="both"/>
        <w:rPr>
          <w:rFonts w:cs="Times New Roman"/>
        </w:rPr>
      </w:pPr>
      <w:r>
        <w:rPr>
          <w:rFonts w:cs="Times New Roman"/>
        </w:rPr>
        <w:t xml:space="preserve"> Norā</w:t>
      </w:r>
      <w:r w:rsidR="002D68E5">
        <w:rPr>
          <w:rFonts w:cs="Times New Roman"/>
        </w:rPr>
        <w:t>dījumi par izmeklēšanas virzieniem</w:t>
      </w:r>
      <w:r>
        <w:rPr>
          <w:rFonts w:cs="Times New Roman"/>
        </w:rPr>
        <w:t xml:space="preserve"> un </w:t>
      </w:r>
      <w:r w:rsidR="002D68E5">
        <w:rPr>
          <w:rFonts w:cs="Times New Roman"/>
        </w:rPr>
        <w:t xml:space="preserve">konkrētu </w:t>
      </w:r>
      <w:r>
        <w:rPr>
          <w:rFonts w:cs="Times New Roman"/>
        </w:rPr>
        <w:t xml:space="preserve">izmeklēšanas darbību veikšanu doti gan mutiski, gan rakstiski vairākkārt visa kriminālprocesa laikā. Izmeklēšanas </w:t>
      </w:r>
      <w:r w:rsidR="002D68E5">
        <w:rPr>
          <w:rFonts w:cs="Times New Roman"/>
        </w:rPr>
        <w:t>virzība sistemātiski</w:t>
      </w:r>
      <w:r>
        <w:rPr>
          <w:rFonts w:cs="Times New Roman"/>
        </w:rPr>
        <w:t xml:space="preserve"> apspriesta ne vien ar izmeklētājiem, bet arī ar izm</w:t>
      </w:r>
      <w:r w:rsidR="00DA0F5D">
        <w:rPr>
          <w:rFonts w:cs="Times New Roman"/>
        </w:rPr>
        <w:t xml:space="preserve">eklētāja tiešo priekšnieku, </w:t>
      </w:r>
      <w:r w:rsidR="00DA0F5D">
        <w:rPr>
          <w:rFonts w:cs="Times New Roman"/>
        </w:rPr>
        <w:lastRenderedPageBreak/>
        <w:t>Korupcijas novēršanas un apkarošanas biroja</w:t>
      </w:r>
      <w:r>
        <w:rPr>
          <w:rFonts w:cs="Times New Roman"/>
        </w:rPr>
        <w:t xml:space="preserve"> un Ģenerālprok</w:t>
      </w:r>
      <w:r w:rsidR="00B03D4D">
        <w:rPr>
          <w:rFonts w:cs="Times New Roman"/>
        </w:rPr>
        <w:t>uratūras vadību kopīgās sanāksmē</w:t>
      </w:r>
      <w:r>
        <w:rPr>
          <w:rFonts w:cs="Times New Roman"/>
        </w:rPr>
        <w:t>s, sniedzot vērtējumu par svarīgāka</w:t>
      </w:r>
      <w:r w:rsidR="00197EAD">
        <w:rPr>
          <w:rFonts w:cs="Times New Roman"/>
        </w:rPr>
        <w:t>jām problēmām</w:t>
      </w:r>
      <w:r>
        <w:rPr>
          <w:rFonts w:cs="Times New Roman"/>
        </w:rPr>
        <w:t>. Īpaši bieži šīs apspriedes rīkotas pirmajā gadā pēc kriminālprocesa uzsākšanas.</w:t>
      </w:r>
    </w:p>
    <w:p w:rsidR="008346F2" w:rsidRPr="00C21F24" w:rsidRDefault="008346F2" w:rsidP="00826A4E">
      <w:pPr>
        <w:ind w:firstLine="720"/>
        <w:jc w:val="both"/>
      </w:pPr>
      <w:r>
        <w:rPr>
          <w:rFonts w:cs="Times New Roman"/>
        </w:rPr>
        <w:t>To, kādi ir galvenie pierādāmie apstākļi kriminālprocesā un to, ka kriminālprocesā pievienotajās nepubliskajās sarunās izskanējušiem faktiem par slēptajām īpašumtiesiskajām attiecībām nepieciešami papildus pierādījumi, vairākkārt norādīts ne tikai kopīgajās sanāksmēs, bet arī prokurora norādījumos.</w:t>
      </w:r>
    </w:p>
    <w:p w:rsidR="008346F2" w:rsidRDefault="008346F2" w:rsidP="00826A4E">
      <w:pPr>
        <w:ind w:firstLine="720"/>
        <w:jc w:val="both"/>
        <w:rPr>
          <w:rFonts w:cs="Times New Roman"/>
        </w:rPr>
      </w:pPr>
      <w:r>
        <w:rPr>
          <w:rFonts w:cs="Times New Roman"/>
        </w:rPr>
        <w:t>Tāpat prokurora norādījumos vērsta uzmanība uz tiem sarunās izskanējušiem faktiem, kas pārbau</w:t>
      </w:r>
      <w:r w:rsidR="00310E77">
        <w:rPr>
          <w:rFonts w:cs="Times New Roman"/>
        </w:rPr>
        <w:t>dāmi izmeklēšanas gaitā, kā arī to,</w:t>
      </w:r>
      <w:r w:rsidR="002D68E5">
        <w:rPr>
          <w:rFonts w:cs="Times New Roman"/>
        </w:rPr>
        <w:t xml:space="preserve"> kuras</w:t>
      </w:r>
      <w:r>
        <w:rPr>
          <w:rFonts w:cs="Times New Roman"/>
        </w:rPr>
        <w:t xml:space="preserve"> sarunās mi</w:t>
      </w:r>
      <w:r w:rsidR="002D68E5">
        <w:rPr>
          <w:rFonts w:cs="Times New Roman"/>
        </w:rPr>
        <w:t xml:space="preserve">nētās personas </w:t>
      </w:r>
      <w:r w:rsidR="006D6BA5">
        <w:rPr>
          <w:rFonts w:cs="Times New Roman"/>
        </w:rPr>
        <w:t>pratināmas</w:t>
      </w:r>
      <w:r>
        <w:rPr>
          <w:rFonts w:cs="Times New Roman"/>
        </w:rPr>
        <w:t>.</w:t>
      </w:r>
    </w:p>
    <w:p w:rsidR="008346F2" w:rsidRDefault="002D68E5" w:rsidP="00826A4E">
      <w:pPr>
        <w:ind w:firstLine="720"/>
        <w:jc w:val="both"/>
        <w:rPr>
          <w:rFonts w:cs="Times New Roman"/>
        </w:rPr>
      </w:pPr>
      <w:r>
        <w:rPr>
          <w:rFonts w:cs="Times New Roman"/>
        </w:rPr>
        <w:t>V</w:t>
      </w:r>
      <w:r w:rsidR="008346F2">
        <w:rPr>
          <w:rFonts w:cs="Times New Roman"/>
        </w:rPr>
        <w:t>airākkārt personīgi veikta kriminālprocesā iegūto pierādīj</w:t>
      </w:r>
      <w:r w:rsidR="00716FA2">
        <w:rPr>
          <w:rFonts w:cs="Times New Roman"/>
        </w:rPr>
        <w:t xml:space="preserve">umu analīze, </w:t>
      </w:r>
      <w:r w:rsidR="00CB05A6">
        <w:rPr>
          <w:rFonts w:cs="Times New Roman"/>
        </w:rPr>
        <w:t xml:space="preserve">sastādot attiecīgas uzziņas, </w:t>
      </w:r>
      <w:r w:rsidR="00B03D4D">
        <w:rPr>
          <w:rFonts w:cs="Times New Roman"/>
        </w:rPr>
        <w:t>kā arī izmeklētājiem</w:t>
      </w:r>
      <w:r w:rsidR="008346F2">
        <w:rPr>
          <w:rFonts w:cs="Times New Roman"/>
        </w:rPr>
        <w:t xml:space="preserve"> uzdots iesniegt svarīgāko pi</w:t>
      </w:r>
      <w:r w:rsidR="00197EAD">
        <w:rPr>
          <w:rFonts w:cs="Times New Roman"/>
        </w:rPr>
        <w:t>erādījumu apkopojumu par to, ar kādiem pierādījumiem</w:t>
      </w:r>
      <w:r w:rsidR="007C7E0F">
        <w:rPr>
          <w:rFonts w:cs="Times New Roman"/>
        </w:rPr>
        <w:t>, viņuprāt,</w:t>
      </w:r>
      <w:r w:rsidR="00197EAD">
        <w:rPr>
          <w:rFonts w:cs="Times New Roman"/>
        </w:rPr>
        <w:t xml:space="preserve"> apstiprinās</w:t>
      </w:r>
      <w:r w:rsidR="008346F2">
        <w:rPr>
          <w:rFonts w:cs="Times New Roman"/>
        </w:rPr>
        <w:t>, ka A.Šleseram slēpti pieder kapitāla daļas SIA “Rīg</w:t>
      </w:r>
      <w:r w:rsidR="002E1F70">
        <w:rPr>
          <w:rFonts w:cs="Times New Roman"/>
        </w:rPr>
        <w:t>as T</w:t>
      </w:r>
      <w:r w:rsidR="008346F2">
        <w:rPr>
          <w:rFonts w:cs="Times New Roman"/>
        </w:rPr>
        <w:t>irdzniecības osta” un vairākos citos uzņēmumos.</w:t>
      </w:r>
    </w:p>
    <w:p w:rsidR="008346F2" w:rsidRDefault="0062628A" w:rsidP="00826A4E">
      <w:pPr>
        <w:ind w:firstLine="720"/>
        <w:jc w:val="both"/>
        <w:rPr>
          <w:rFonts w:cs="Times New Roman"/>
        </w:rPr>
      </w:pPr>
      <w:r>
        <w:rPr>
          <w:rFonts w:cs="Times New Roman"/>
        </w:rPr>
        <w:t>Izmeklēšanas u</w:t>
      </w:r>
      <w:r w:rsidR="008346F2">
        <w:rPr>
          <w:rFonts w:cs="Times New Roman"/>
        </w:rPr>
        <w:t>zraudzības procesā sniegta palīdzība dažādu procesuālo d</w:t>
      </w:r>
      <w:r w:rsidR="00310E77">
        <w:rPr>
          <w:rFonts w:cs="Times New Roman"/>
        </w:rPr>
        <w:t>okumentu projektu sagatavošanā. Piemēram, sniegta palīdzība, sagatavojot</w:t>
      </w:r>
      <w:r w:rsidR="008346F2">
        <w:rPr>
          <w:rFonts w:cs="Times New Roman"/>
        </w:rPr>
        <w:t xml:space="preserve"> tiesiskās palīdzības lūgumu</w:t>
      </w:r>
      <w:r w:rsidR="00310E77">
        <w:rPr>
          <w:rFonts w:cs="Times New Roman"/>
        </w:rPr>
        <w:t xml:space="preserve">s, </w:t>
      </w:r>
      <w:r>
        <w:rPr>
          <w:rFonts w:cs="Times New Roman"/>
        </w:rPr>
        <w:t>lēmumus</w:t>
      </w:r>
      <w:r w:rsidR="008346F2">
        <w:rPr>
          <w:rFonts w:cs="Times New Roman"/>
        </w:rPr>
        <w:t xml:space="preserve"> par personu atzīš</w:t>
      </w:r>
      <w:r>
        <w:rPr>
          <w:rFonts w:cs="Times New Roman"/>
        </w:rPr>
        <w:t>anu par aizdomās turētiem, blakus sūdzības par tiesas lēmumiem, ar kuriem atteikta kratīšanas izdarīšana pie A.Šlesera</w:t>
      </w:r>
      <w:r w:rsidR="008346F2">
        <w:rPr>
          <w:rFonts w:cs="Times New Roman"/>
        </w:rPr>
        <w:t>. Tāpat sniegta palīdzība jautājumu noformulēšanai atsevišķu personu pratināšanai.</w:t>
      </w:r>
    </w:p>
    <w:p w:rsidR="008346F2" w:rsidRDefault="008346F2" w:rsidP="00826A4E">
      <w:pPr>
        <w:ind w:firstLine="720"/>
        <w:jc w:val="both"/>
        <w:rPr>
          <w:rFonts w:cs="Times New Roman"/>
        </w:rPr>
      </w:pPr>
      <w:r>
        <w:rPr>
          <w:rFonts w:cs="Times New Roman"/>
        </w:rPr>
        <w:t>Izskatot kriminālprocesā iesaistīto personu sūdzības par kriminālprocesa neatļautu novilcināšanu vairākkārt pārbaudīta procesuālo darbību veikšanas intensitāte. Gan es kā uzraugošais prokurors, gan amatā augstāki prokurori atzinuši, ka nav konstatēta kriminālprocesa neatļauta novilcināšana.</w:t>
      </w:r>
    </w:p>
    <w:p w:rsidR="00786773" w:rsidRDefault="00786773" w:rsidP="00826A4E">
      <w:pPr>
        <w:ind w:firstLine="720"/>
        <w:jc w:val="both"/>
        <w:rPr>
          <w:rFonts w:cs="Times New Roman"/>
        </w:rPr>
      </w:pPr>
      <w:r>
        <w:rPr>
          <w:rFonts w:cs="Times New Roman"/>
        </w:rPr>
        <w:t>Kā uzraugošais prokurors varu apliecināt, ka izmeklētāji atbilstoši viņiem piešķirtajiem resursiem un iespējām prokurora norādījumus ir pildījuši.</w:t>
      </w:r>
      <w:r w:rsidR="00A11D46">
        <w:rPr>
          <w:rFonts w:cs="Times New Roman"/>
        </w:rPr>
        <w:t xml:space="preserve"> </w:t>
      </w:r>
    </w:p>
    <w:p w:rsidR="006D6BA5" w:rsidRDefault="006D6BA5" w:rsidP="00826A4E">
      <w:pPr>
        <w:ind w:right="798"/>
        <w:rPr>
          <w:bCs/>
          <w:iCs/>
        </w:rPr>
      </w:pPr>
    </w:p>
    <w:p w:rsidR="00786773" w:rsidRDefault="00786773" w:rsidP="00826A4E">
      <w:pPr>
        <w:ind w:right="798"/>
        <w:rPr>
          <w:bCs/>
          <w:iCs/>
        </w:rPr>
      </w:pPr>
    </w:p>
    <w:p w:rsidR="00EF216D" w:rsidRDefault="00EF216D" w:rsidP="00826A4E">
      <w:pPr>
        <w:ind w:right="798"/>
        <w:rPr>
          <w:bCs/>
          <w:iCs/>
        </w:rPr>
      </w:pPr>
    </w:p>
    <w:p w:rsidR="006D6BA5" w:rsidRDefault="006D6BA5" w:rsidP="00826A4E">
      <w:pPr>
        <w:ind w:right="798"/>
        <w:rPr>
          <w:bCs/>
          <w:iCs/>
        </w:rPr>
      </w:pPr>
    </w:p>
    <w:p w:rsidR="006F783C" w:rsidRPr="008346F2" w:rsidRDefault="008346F2" w:rsidP="00826A4E">
      <w:pPr>
        <w:ind w:right="798"/>
        <w:rPr>
          <w:bCs/>
          <w:iCs/>
        </w:rPr>
      </w:pPr>
      <w:r w:rsidRPr="008346F2">
        <w:rPr>
          <w:bCs/>
          <w:iCs/>
        </w:rPr>
        <w:t>Prokurors</w:t>
      </w:r>
      <w:r>
        <w:rPr>
          <w:bCs/>
          <w:iCs/>
        </w:rPr>
        <w:tab/>
      </w:r>
      <w:r>
        <w:rPr>
          <w:bCs/>
          <w:iCs/>
        </w:rPr>
        <w:tab/>
      </w:r>
      <w:r>
        <w:rPr>
          <w:bCs/>
          <w:iCs/>
        </w:rPr>
        <w:tab/>
      </w:r>
      <w:r>
        <w:rPr>
          <w:bCs/>
          <w:iCs/>
        </w:rPr>
        <w:tab/>
      </w:r>
      <w:r>
        <w:rPr>
          <w:bCs/>
          <w:iCs/>
        </w:rPr>
        <w:tab/>
      </w:r>
      <w:r>
        <w:rPr>
          <w:bCs/>
          <w:iCs/>
        </w:rPr>
        <w:tab/>
      </w:r>
      <w:r>
        <w:rPr>
          <w:bCs/>
          <w:iCs/>
        </w:rPr>
        <w:tab/>
      </w:r>
      <w:r>
        <w:rPr>
          <w:bCs/>
          <w:iCs/>
        </w:rPr>
        <w:tab/>
        <w:t xml:space="preserve">           Māris Leja</w:t>
      </w:r>
      <w:r>
        <w:rPr>
          <w:bCs/>
          <w:iCs/>
        </w:rPr>
        <w:tab/>
      </w:r>
      <w:r>
        <w:rPr>
          <w:bCs/>
          <w:iCs/>
        </w:rPr>
        <w:tab/>
      </w:r>
    </w:p>
    <w:p w:rsidR="006F783C" w:rsidRDefault="006F783C" w:rsidP="00826A4E"/>
    <w:p w:rsidR="00D83D82" w:rsidRDefault="00D83D82" w:rsidP="00826A4E"/>
    <w:p w:rsidR="00BB4638" w:rsidRDefault="00BB4638" w:rsidP="00826A4E"/>
    <w:p w:rsidR="00BB4638" w:rsidRDefault="00BB4638" w:rsidP="00BB4638">
      <w:pPr>
        <w:jc w:val="center"/>
      </w:pPr>
    </w:p>
    <w:sectPr w:rsidR="00BB4638">
      <w:pgSz w:w="11906" w:h="16838"/>
      <w:pgMar w:top="1134" w:right="1121" w:bottom="1134" w:left="1800"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E24"/>
    <w:multiLevelType w:val="hybridMultilevel"/>
    <w:tmpl w:val="45728D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F3435A"/>
    <w:multiLevelType w:val="hybridMultilevel"/>
    <w:tmpl w:val="28907A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1BD91B82"/>
    <w:multiLevelType w:val="hybridMultilevel"/>
    <w:tmpl w:val="99D62236"/>
    <w:lvl w:ilvl="0" w:tplc="17C4159E">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34D6F14"/>
    <w:multiLevelType w:val="hybridMultilevel"/>
    <w:tmpl w:val="2BDCF3CA"/>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nsid w:val="3C751F75"/>
    <w:multiLevelType w:val="hybridMultilevel"/>
    <w:tmpl w:val="FA24C1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49F61726"/>
    <w:multiLevelType w:val="hybridMultilevel"/>
    <w:tmpl w:val="C7DE40BA"/>
    <w:lvl w:ilvl="0" w:tplc="65607188">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6DFF2527"/>
    <w:multiLevelType w:val="hybridMultilevel"/>
    <w:tmpl w:val="FA88F0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7F855EC8"/>
    <w:multiLevelType w:val="hybridMultilevel"/>
    <w:tmpl w:val="D9483ED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3C"/>
    <w:rsid w:val="000010CD"/>
    <w:rsid w:val="000162F8"/>
    <w:rsid w:val="00067185"/>
    <w:rsid w:val="000D7FD1"/>
    <w:rsid w:val="000E0239"/>
    <w:rsid w:val="00120757"/>
    <w:rsid w:val="0012322D"/>
    <w:rsid w:val="00185240"/>
    <w:rsid w:val="00197EAD"/>
    <w:rsid w:val="001D7CCD"/>
    <w:rsid w:val="00245B01"/>
    <w:rsid w:val="002526CC"/>
    <w:rsid w:val="00274B53"/>
    <w:rsid w:val="002A7A34"/>
    <w:rsid w:val="002A7E28"/>
    <w:rsid w:val="002D68E5"/>
    <w:rsid w:val="002E1F70"/>
    <w:rsid w:val="003061D5"/>
    <w:rsid w:val="00310E77"/>
    <w:rsid w:val="003E443B"/>
    <w:rsid w:val="0040260E"/>
    <w:rsid w:val="00421E44"/>
    <w:rsid w:val="00432054"/>
    <w:rsid w:val="00447BD9"/>
    <w:rsid w:val="00485005"/>
    <w:rsid w:val="00485E96"/>
    <w:rsid w:val="00494BC4"/>
    <w:rsid w:val="004C2CDA"/>
    <w:rsid w:val="004C3EF4"/>
    <w:rsid w:val="004E35A8"/>
    <w:rsid w:val="004F1C70"/>
    <w:rsid w:val="00500835"/>
    <w:rsid w:val="00505B10"/>
    <w:rsid w:val="00512AD4"/>
    <w:rsid w:val="005A6699"/>
    <w:rsid w:val="005D79E8"/>
    <w:rsid w:val="0062628A"/>
    <w:rsid w:val="0063023F"/>
    <w:rsid w:val="006429F6"/>
    <w:rsid w:val="00684F16"/>
    <w:rsid w:val="006B3A00"/>
    <w:rsid w:val="006C0722"/>
    <w:rsid w:val="006D6BA5"/>
    <w:rsid w:val="006F47E9"/>
    <w:rsid w:val="006F783C"/>
    <w:rsid w:val="00716FA2"/>
    <w:rsid w:val="0072359B"/>
    <w:rsid w:val="007431BD"/>
    <w:rsid w:val="00776684"/>
    <w:rsid w:val="00786773"/>
    <w:rsid w:val="007A49C5"/>
    <w:rsid w:val="007B7433"/>
    <w:rsid w:val="007C7E0F"/>
    <w:rsid w:val="007D5833"/>
    <w:rsid w:val="007E6E9D"/>
    <w:rsid w:val="0080000B"/>
    <w:rsid w:val="00826A4E"/>
    <w:rsid w:val="008346F2"/>
    <w:rsid w:val="00842C0D"/>
    <w:rsid w:val="0084613C"/>
    <w:rsid w:val="00886A18"/>
    <w:rsid w:val="008D2D51"/>
    <w:rsid w:val="009E1056"/>
    <w:rsid w:val="009F2281"/>
    <w:rsid w:val="00A11D46"/>
    <w:rsid w:val="00A23F4A"/>
    <w:rsid w:val="00AA2BAE"/>
    <w:rsid w:val="00AF3984"/>
    <w:rsid w:val="00B00513"/>
    <w:rsid w:val="00B03D4D"/>
    <w:rsid w:val="00BB4638"/>
    <w:rsid w:val="00BC72A8"/>
    <w:rsid w:val="00BD6E97"/>
    <w:rsid w:val="00BF4B4C"/>
    <w:rsid w:val="00BF4C27"/>
    <w:rsid w:val="00C4143C"/>
    <w:rsid w:val="00CA701A"/>
    <w:rsid w:val="00CB05A6"/>
    <w:rsid w:val="00CC3FFD"/>
    <w:rsid w:val="00CE5129"/>
    <w:rsid w:val="00D06F9E"/>
    <w:rsid w:val="00D15952"/>
    <w:rsid w:val="00D4049E"/>
    <w:rsid w:val="00D50514"/>
    <w:rsid w:val="00D60E47"/>
    <w:rsid w:val="00D76DC3"/>
    <w:rsid w:val="00D824A4"/>
    <w:rsid w:val="00D83B49"/>
    <w:rsid w:val="00D83D82"/>
    <w:rsid w:val="00DA0F5D"/>
    <w:rsid w:val="00DC6341"/>
    <w:rsid w:val="00DE0113"/>
    <w:rsid w:val="00DF32B7"/>
    <w:rsid w:val="00EA407A"/>
    <w:rsid w:val="00EC2D6F"/>
    <w:rsid w:val="00EE018B"/>
    <w:rsid w:val="00EE2D55"/>
    <w:rsid w:val="00EF216D"/>
    <w:rsid w:val="00F13579"/>
    <w:rsid w:val="00F338EA"/>
    <w:rsid w:val="00F5713B"/>
    <w:rsid w:val="00F71B68"/>
    <w:rsid w:val="00F864E6"/>
    <w:rsid w:val="00F93915"/>
    <w:rsid w:val="00FD2585"/>
    <w:rsid w:val="00FF3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3C"/>
    <w:pPr>
      <w:widowControl w:val="0"/>
      <w:suppressAutoHyphens/>
      <w:spacing w:after="0" w:line="240" w:lineRule="auto"/>
    </w:pPr>
    <w:rPr>
      <w:rFonts w:eastAsia="SimSun" w:cs="Mangal"/>
      <w:kern w:val="1"/>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F783C"/>
    <w:pPr>
      <w:suppressLineNumbers/>
    </w:pPr>
  </w:style>
  <w:style w:type="paragraph" w:styleId="EndnoteText">
    <w:name w:val="endnote text"/>
    <w:basedOn w:val="Normal"/>
    <w:link w:val="EndnoteTextChar"/>
    <w:semiHidden/>
    <w:rsid w:val="006F783C"/>
    <w:pPr>
      <w:widowControl/>
      <w:suppressAutoHyphens w:val="0"/>
    </w:pPr>
    <w:rPr>
      <w:rFonts w:eastAsia="Calibri" w:cs="Times New Roman"/>
      <w:kern w:val="0"/>
      <w:sz w:val="20"/>
      <w:szCs w:val="20"/>
      <w:lang w:val="en-US" w:eastAsia="lv-LV" w:bidi="ar-SA"/>
    </w:rPr>
  </w:style>
  <w:style w:type="character" w:customStyle="1" w:styleId="EndnoteTextChar">
    <w:name w:val="Endnote Text Char"/>
    <w:basedOn w:val="DefaultParagraphFont"/>
    <w:link w:val="EndnoteText"/>
    <w:semiHidden/>
    <w:rsid w:val="006F783C"/>
    <w:rPr>
      <w:rFonts w:eastAsia="Calibri" w:cs="Times New Roman"/>
      <w:sz w:val="20"/>
      <w:szCs w:val="20"/>
      <w:lang w:val="en-US" w:eastAsia="lv-LV"/>
    </w:rPr>
  </w:style>
  <w:style w:type="paragraph" w:styleId="ListParagraph">
    <w:name w:val="List Paragraph"/>
    <w:basedOn w:val="Normal"/>
    <w:uiPriority w:val="34"/>
    <w:qFormat/>
    <w:rsid w:val="008346F2"/>
    <w:pPr>
      <w:widowControl/>
      <w:suppressAutoHyphens w:val="0"/>
      <w:spacing w:after="160" w:line="259" w:lineRule="auto"/>
      <w:ind w:left="720"/>
      <w:contextualSpacing/>
    </w:pPr>
    <w:rPr>
      <w:rFonts w:eastAsiaTheme="minorHAnsi" w:cstheme="minorBidi"/>
      <w:kern w:val="0"/>
      <w:szCs w:val="22"/>
      <w:lang w:eastAsia="en-US" w:bidi="ar-SA"/>
    </w:rPr>
  </w:style>
  <w:style w:type="paragraph" w:styleId="BodyText">
    <w:name w:val="Body Text"/>
    <w:basedOn w:val="Normal"/>
    <w:link w:val="BodyTextChar"/>
    <w:rsid w:val="008346F2"/>
    <w:pPr>
      <w:widowControl/>
      <w:spacing w:after="120"/>
    </w:pPr>
    <w:rPr>
      <w:rFonts w:eastAsia="Times New Roman" w:cs="Times New Roman"/>
      <w:kern w:val="0"/>
      <w:lang w:bidi="ar-SA"/>
    </w:rPr>
  </w:style>
  <w:style w:type="character" w:customStyle="1" w:styleId="BodyTextChar">
    <w:name w:val="Body Text Char"/>
    <w:basedOn w:val="DefaultParagraphFont"/>
    <w:link w:val="BodyText"/>
    <w:rsid w:val="008346F2"/>
    <w:rPr>
      <w:rFonts w:eastAsia="Times New Roman" w:cs="Times New Roman"/>
      <w:szCs w:val="24"/>
      <w:lang w:eastAsia="zh-CN"/>
    </w:rPr>
  </w:style>
  <w:style w:type="paragraph" w:styleId="BalloonText">
    <w:name w:val="Balloon Text"/>
    <w:basedOn w:val="Normal"/>
    <w:link w:val="BalloonTextChar"/>
    <w:uiPriority w:val="99"/>
    <w:semiHidden/>
    <w:unhideWhenUsed/>
    <w:rsid w:val="00EA407A"/>
    <w:rPr>
      <w:rFonts w:ascii="Segoe UI" w:hAnsi="Segoe UI"/>
      <w:sz w:val="18"/>
      <w:szCs w:val="16"/>
    </w:rPr>
  </w:style>
  <w:style w:type="character" w:customStyle="1" w:styleId="BalloonTextChar">
    <w:name w:val="Balloon Text Char"/>
    <w:basedOn w:val="DefaultParagraphFont"/>
    <w:link w:val="BalloonText"/>
    <w:uiPriority w:val="99"/>
    <w:semiHidden/>
    <w:rsid w:val="00EA407A"/>
    <w:rPr>
      <w:rFonts w:ascii="Segoe UI" w:eastAsia="SimSun" w:hAnsi="Segoe UI" w:cs="Mangal"/>
      <w:kern w:val="1"/>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3C"/>
    <w:pPr>
      <w:widowControl w:val="0"/>
      <w:suppressAutoHyphens/>
      <w:spacing w:after="0" w:line="240" w:lineRule="auto"/>
    </w:pPr>
    <w:rPr>
      <w:rFonts w:eastAsia="SimSun" w:cs="Mangal"/>
      <w:kern w:val="1"/>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F783C"/>
    <w:pPr>
      <w:suppressLineNumbers/>
    </w:pPr>
  </w:style>
  <w:style w:type="paragraph" w:styleId="EndnoteText">
    <w:name w:val="endnote text"/>
    <w:basedOn w:val="Normal"/>
    <w:link w:val="EndnoteTextChar"/>
    <w:semiHidden/>
    <w:rsid w:val="006F783C"/>
    <w:pPr>
      <w:widowControl/>
      <w:suppressAutoHyphens w:val="0"/>
    </w:pPr>
    <w:rPr>
      <w:rFonts w:eastAsia="Calibri" w:cs="Times New Roman"/>
      <w:kern w:val="0"/>
      <w:sz w:val="20"/>
      <w:szCs w:val="20"/>
      <w:lang w:val="en-US" w:eastAsia="lv-LV" w:bidi="ar-SA"/>
    </w:rPr>
  </w:style>
  <w:style w:type="character" w:customStyle="1" w:styleId="EndnoteTextChar">
    <w:name w:val="Endnote Text Char"/>
    <w:basedOn w:val="DefaultParagraphFont"/>
    <w:link w:val="EndnoteText"/>
    <w:semiHidden/>
    <w:rsid w:val="006F783C"/>
    <w:rPr>
      <w:rFonts w:eastAsia="Calibri" w:cs="Times New Roman"/>
      <w:sz w:val="20"/>
      <w:szCs w:val="20"/>
      <w:lang w:val="en-US" w:eastAsia="lv-LV"/>
    </w:rPr>
  </w:style>
  <w:style w:type="paragraph" w:styleId="ListParagraph">
    <w:name w:val="List Paragraph"/>
    <w:basedOn w:val="Normal"/>
    <w:uiPriority w:val="34"/>
    <w:qFormat/>
    <w:rsid w:val="008346F2"/>
    <w:pPr>
      <w:widowControl/>
      <w:suppressAutoHyphens w:val="0"/>
      <w:spacing w:after="160" w:line="259" w:lineRule="auto"/>
      <w:ind w:left="720"/>
      <w:contextualSpacing/>
    </w:pPr>
    <w:rPr>
      <w:rFonts w:eastAsiaTheme="minorHAnsi" w:cstheme="minorBidi"/>
      <w:kern w:val="0"/>
      <w:szCs w:val="22"/>
      <w:lang w:eastAsia="en-US" w:bidi="ar-SA"/>
    </w:rPr>
  </w:style>
  <w:style w:type="paragraph" w:styleId="BodyText">
    <w:name w:val="Body Text"/>
    <w:basedOn w:val="Normal"/>
    <w:link w:val="BodyTextChar"/>
    <w:rsid w:val="008346F2"/>
    <w:pPr>
      <w:widowControl/>
      <w:spacing w:after="120"/>
    </w:pPr>
    <w:rPr>
      <w:rFonts w:eastAsia="Times New Roman" w:cs="Times New Roman"/>
      <w:kern w:val="0"/>
      <w:lang w:bidi="ar-SA"/>
    </w:rPr>
  </w:style>
  <w:style w:type="character" w:customStyle="1" w:styleId="BodyTextChar">
    <w:name w:val="Body Text Char"/>
    <w:basedOn w:val="DefaultParagraphFont"/>
    <w:link w:val="BodyText"/>
    <w:rsid w:val="008346F2"/>
    <w:rPr>
      <w:rFonts w:eastAsia="Times New Roman" w:cs="Times New Roman"/>
      <w:szCs w:val="24"/>
      <w:lang w:eastAsia="zh-CN"/>
    </w:rPr>
  </w:style>
  <w:style w:type="paragraph" w:styleId="BalloonText">
    <w:name w:val="Balloon Text"/>
    <w:basedOn w:val="Normal"/>
    <w:link w:val="BalloonTextChar"/>
    <w:uiPriority w:val="99"/>
    <w:semiHidden/>
    <w:unhideWhenUsed/>
    <w:rsid w:val="00EA407A"/>
    <w:rPr>
      <w:rFonts w:ascii="Segoe UI" w:hAnsi="Segoe UI"/>
      <w:sz w:val="18"/>
      <w:szCs w:val="16"/>
    </w:rPr>
  </w:style>
  <w:style w:type="character" w:customStyle="1" w:styleId="BalloonTextChar">
    <w:name w:val="Balloon Text Char"/>
    <w:basedOn w:val="DefaultParagraphFont"/>
    <w:link w:val="BalloonText"/>
    <w:uiPriority w:val="99"/>
    <w:semiHidden/>
    <w:rsid w:val="00EA407A"/>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Leja</dc:creator>
  <cp:lastModifiedBy>Vilnsi</cp:lastModifiedBy>
  <cp:revision>2</cp:revision>
  <cp:lastPrinted>2017-08-08T11:32:00Z</cp:lastPrinted>
  <dcterms:created xsi:type="dcterms:W3CDTF">2017-08-28T09:24:00Z</dcterms:created>
  <dcterms:modified xsi:type="dcterms:W3CDTF">2017-08-28T09:24:00Z</dcterms:modified>
</cp:coreProperties>
</file>